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X963ea46eca378a09d8c7b85beca64c377355d49"/>
    <w:p>
      <w:pPr>
        <w:pStyle w:val="Heading1"/>
      </w:pPr>
      <w:r>
        <w:t xml:space="preserve">The Evolving Role of the Academic Researcher in Saudi Arabia Riyadh</w:t>
      </w:r>
    </w:p>
    <w:p>
      <w:pPr>
        <w:pStyle w:val="FirstParagraph"/>
      </w:pPr>
      <w:r>
        <w:br/>
      </w:r>
      <w:r>
        <w:br/>
      </w:r>
      <w:r>
        <w:rPr>
          <w:iCs/>
          <w:i/>
        </w:rPr>
        <w:t xml:space="preserve">A Term Paper Submitted for Advanced Studies</w:t>
      </w:r>
      <w:r>
        <w:br/>
      </w:r>
      <w:r>
        <w:rPr>
          <w:iCs/>
          <w:i/>
        </w:rPr>
        <w:t xml:space="preserve">Institutional Context: Saudi Arabia, Riyadh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Academic Researcher in Saudi Arabia Riyadh</dc:title>
  <dc:creator/>
  <dc:language>en</dc:language>
  <cp:keywords/>
  <dcterms:created xsi:type="dcterms:W3CDTF">2026-09-27T19:01:20Z</dcterms:created>
  <dcterms:modified xsi:type="dcterms:W3CDTF">2026-09-27T19:01:20Z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