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Accountants</w:t>
      </w:r>
      <w:r>
        <w:t xml:space="preserve"> </w:t>
      </w:r>
      <w:r>
        <w:t xml:space="preserve">in</w:t>
      </w:r>
      <w:r>
        <w:t xml:space="preserve"> </w:t>
      </w:r>
      <w:r>
        <w:t xml:space="preserve">Turkey's</w:t>
      </w:r>
      <w:r>
        <w:t xml:space="preserve"> </w:t>
      </w:r>
      <w:r>
        <w:t xml:space="preserve">Capital</w:t>
      </w:r>
    </w:p>
    <w:bookmarkStart w:id="29" w:name="X40446f7d3f7c48534c31b11e8019aa856b704d3"/>
    <w:p>
      <w:pPr>
        <w:pStyle w:val="Heading1"/>
      </w:pPr>
      <w:r>
        <w:t xml:space="preserve">The Strategic Evolution of the Accountant Profession in the Republic of Türkiye</w:t>
      </w:r>
    </w:p>
    <w:bookmarkStart w:id="28" w:name="Xa4a44a6048b6ef5fc5a9ee28f34e32925381e9b"/>
    <w:p>
      <w:pPr>
        <w:pStyle w:val="Heading2"/>
      </w:pPr>
      <w:r>
        <w:t xml:space="preserve">A Comprehensive Analysis for Practitioners in Ankara, the Capital City</w:t>
      </w:r>
    </w:p>
    <w:p>
      <w:pPr>
        <w:pStyle w:val="FirstParagraph"/>
      </w:pPr>
      <w:r>
        <w:rPr>
          <w:bCs/>
          <w:b/>
        </w:rPr>
        <w:t xml:space="preserve">Abstract:</w:t>
      </w:r>
      <w:r>
        <w:br/>
      </w:r>
      <w:r>
        <w:t xml:space="preserve">This term paper examines the critical role of the</w:t>
      </w:r>
      <w:r>
        <w:t xml:space="preserve"> </w:t>
      </w:r>
      <w:r>
        <w:rPr>
          <w:bCs/>
          <w:b/>
        </w:rPr>
        <w:t xml:space="preserve">Accountant</w:t>
      </w:r>
      <w:r>
        <w:t xml:space="preserve">Turkey Ankara. As the administrative and political heart of Türkiye, Ankara presents a unique set of fiscal, regulatory, and operational challenges that differ significantly from other major Turkish cities like Istanbul or Izmir. This document explores the historical context of accounting standards in Turkey, specifically focusing on the implementation of Turkish Financial Reporting Standards (TFRS) aligned with International Financial Reporting Standards (IFRS). Furthermore, it analyzes the specific demands placed on</w:t>
      </w:r>
      <w:r>
        <w:t xml:space="preserve"> </w:t>
      </w:r>
      <w:r>
        <w:rPr>
          <w:bCs/>
          <w:b/>
        </w:rPr>
        <w:t xml:space="preserve">AccountantTurkey Ankara</w:t>
      </w:r>
      <w:r>
        <w:t xml:space="preserve">, including interaction with public institutions, taxation complexities within the capital region, and the digital transformation of financial reporting. The paper concludes that while technical proficiency is essential for any &lt; strong &gt; Accountant , success in this specific geographic hub requires a deep understanding of local bureaucratic structures and proactive adaptation to global economic shifts.</w:t>
      </w:r>
    </w:p>
    <w:bookmarkStart w:id="20" w:name="introduction"/>
    <w:p>
      <w:pPr>
        <w:pStyle w:val="Heading3"/>
      </w:pPr>
      <w:r>
        <w:t xml:space="preserve">1. Introduction</w:t>
      </w:r>
    </w:p>
    <w:p>
      <w:pPr>
        <w:pStyle w:val="FirstParagraph"/>
      </w:pPr>
      <w:r>
        <w:t xml:space="preserve">The profession of accounting serves as the backbone of any modern economy, providing the transparency and reliability required for investment, taxation, and corporate governance. In</w:t>
      </w:r>
      <w:r>
        <w:t xml:space="preserve"> </w:t>
      </w:r>
      <w:r>
        <w:rPr>
          <w:bCs/>
          <w:b/>
        </w:rPr>
        <w:t xml:space="preserve">Turkey Ankara</w:t>
      </w:r>
      <w:r>
        <w:t xml:space="preserve">, a city that hosts thousands of government agencies, international organizations, and headquarters for major national corporations, the role of the</w:t>
      </w:r>
      <w:r>
        <w:t xml:space="preserve"> </w:t>
      </w:r>
      <w:r>
        <w:rPr>
          <w:bCs/>
          <w:b/>
        </w:rPr>
        <w:t xml:space="preserve">Accountant</w:t>
      </w:r>
    </w:p>
    <w:p>
      <w:pPr>
        <w:pStyle w:val="BodyText"/>
      </w:pPr>
      <w:r>
        <w:t xml:space="preserve">This term paper aims to dissect the multifaceted nature of accounting in</w:t>
      </w:r>
      <w:r>
        <w:t xml:space="preserve"> </w:t>
      </w:r>
      <w:r>
        <w:rPr>
          <w:bCs/>
          <w:b/>
        </w:rPr>
        <w:t xml:space="preserve">Turkey Ankara</w:t>
      </w:r>
      <w:r>
        <w:t xml:space="preserve">. It will argue that while global standards dominate the theoretical framework, the practical application in Ankara is heavily influenced by local administrative practices and political-economic dynamics. For any professional seeking to establish a career or business presence as an</w:t>
      </w:r>
      <w:r>
        <w:t xml:space="preserve"> </w:t>
      </w:r>
      <w:r>
        <w:rPr>
          <w:bCs/>
          <w:b/>
        </w:rPr>
        <w:t xml:space="preserve">Accountant</w:t>
      </w:r>
      <w:r>
        <w:t xml:space="preserve"> </w:t>
      </w:r>
      <w:r>
        <w:t xml:space="preserve">in this city, understanding these nuances is not optional; it is imperative for compliance and strategic advisory success.</w:t>
      </w:r>
    </w:p>
    <w:bookmarkEnd w:id="20"/>
    <w:bookmarkStart w:id="21" w:name="Xf8a7885be11356083997cbbc4996ac6981e2ac8"/>
    <w:p>
      <w:pPr>
        <w:pStyle w:val="Heading3"/>
      </w:pPr>
      <w:r>
        <w:t xml:space="preserve">2. Regulatory Framework: Harmonization with Global Standards</w:t>
      </w:r>
    </w:p>
    <w:p>
      <w:pPr>
        <w:pStyle w:val="FirstParagraph"/>
      </w:pPr>
      <w:r>
        <w:t xml:space="preserve">To understand the work of an</w:t>
      </w:r>
    </w:p>
    <w:p>
      <w:pPr>
        <w:pStyle w:val="BodyText"/>
      </w:pPr>
      <w:r>
        <w:t xml:space="preserve">Accountant in</w:t>
      </w:r>
    </w:p>
    <w:p>
      <w:pPr>
        <w:pStyle w:val="BodyText"/>
      </w:pPr>
      <w:r>
        <w:t xml:space="preserve">Turkey Ankara, one must first grasp the regulatory environment. Over the past two decades, Turkey has aggressively pursued economic liberalization and integration with European markets. A pivotal moment in this journey was the adoption of Turkish Financial Reporting Standards (TFRS). These standards are substantially converged with International Financial Reporting Standards (IFRS), ensuring that financial statements prepared by companies in</w:t>
      </w:r>
      <w:r>
        <w:t xml:space="preserve"> </w:t>
      </w:r>
      <w:r>
        <w:rPr>
          <w:bCs/>
          <w:b/>
        </w:rPr>
        <w:t xml:space="preserve">Turkey Ankara</w:t>
      </w:r>
      <w:r>
        <w:t xml:space="preserve"> </w:t>
      </w:r>
      <w:r>
        <w:t xml:space="preserve">are comparable to those prepared globally.</w:t>
      </w:r>
    </w:p>
    <w:p>
      <w:pPr>
        <w:pStyle w:val="BodyText"/>
      </w:pPr>
      <w:r>
        <w:t xml:space="preserve">However, convergence does not mean identical implementation. Local nuances remain. For instance, while IFRS focuses heavily on fair value measurement and economic substance over legal form, Turkish tax law often prioritizes legal form for fiscal purposes. This discrepancy creates a dual reporting burden for the</w:t>
      </w:r>
    </w:p>
    <w:p>
      <w:pPr>
        <w:pStyle w:val="BodyText"/>
      </w:pPr>
      <w:r>
        <w:t xml:space="preserve">Accountant. They must prepare management accounts that reflect true economic reality (aligning with IFRS) while simultaneously ensuring compliance with the rigid tax codes enforced by the General Directorate of Taxes in Ankara. This duality requires accountants to possess high-level technical skills and a keen understanding of where these two systems intersect or diverge.</w:t>
      </w:r>
    </w:p>
    <w:bookmarkEnd w:id="21"/>
    <w:bookmarkStart w:id="22" w:name="X73b5cc246026b00daa02117923fab71209ecbdd"/>
    <w:p>
      <w:pPr>
        <w:pStyle w:val="Heading3"/>
      </w:pPr>
      <w:r>
        <w:t xml:space="preserve">3. The Unique Context of Ankara: Public Sector and Bureaucracy</w:t>
      </w:r>
    </w:p>
    <w:p>
      <w:pPr>
        <w:pStyle w:val="FirstParagraph"/>
      </w:pPr>
      <w:r>
        <w:t xml:space="preserve">A defining characteristic of working as an</w:t>
      </w:r>
      <w:r>
        <w:t xml:space="preserve"> </w:t>
      </w:r>
      <w:r>
        <w:rPr>
          <w:bCs/>
          <w:b/>
        </w:rPr>
        <w:t xml:space="preserve">Accountant</w:t>
      </w:r>
      <w:r>
        <w:t xml:space="preserve">Turkey Ankara is the proximity to power. Unlike Istanbul, which is driven by private sector multinational corporations and international trade, Ankara’s economy is heavily influenced by public spending, government contracts, and institutional frameworks. Therefore, a significant portion of accounting work in this region involves interactions with state institutions.</w:t>
      </w:r>
    </w:p>
    <w:p>
      <w:pPr>
        <w:pStyle w:val="BodyText"/>
      </w:pPr>
      <w:r>
        <w:t xml:space="preserve">Accountants in Ankara frequently deal with public procurement regulations, which are strictly monitored to prevent corruption and ensure efficient use of taxpayer money. This requires a meticulous approach to documentation and auditing. Furthermore, many</w:t>
      </w:r>
    </w:p>
    <w:p>
      <w:pPr>
        <w:pStyle w:val="BodyText"/>
      </w:pPr>
      <w:r>
        <w:t xml:space="preserve">AccountantAccountant in</w:t>
      </w:r>
    </w:p>
    <w:p>
      <w:pPr>
        <w:pStyle w:val="BodyText"/>
      </w:pPr>
      <w:r>
        <w:t xml:space="preserve">Turkey Ankara must be a polyglot of regulatory languages, fluent in local tax code, international grant compliance, and public sector auditing standards.</w:t>
      </w:r>
    </w:p>
    <w:bookmarkEnd w:id="22"/>
    <w:bookmarkStart w:id="23" w:name="Xabd0cbfd4503ca2eb6a18bbc98927a05161ff5b"/>
    <w:p>
      <w:pPr>
        <w:pStyle w:val="Heading3"/>
      </w:pPr>
      <w:r>
        <w:t xml:space="preserve">4. Technological Disruption and Digital Transformation</w:t>
      </w:r>
    </w:p>
    <w:p>
      <w:pPr>
        <w:pStyle w:val="FirstParagraph"/>
      </w:pPr>
      <w:r>
        <w:t xml:space="preserve">The role of the</w:t>
      </w:r>
    </w:p>
    <w:p>
      <w:pPr>
        <w:pStyle w:val="BodyText"/>
      </w:pPr>
      <w:r>
        <w:t xml:space="preserve">Accountant is undergoing a seismic shift due to digitalization. In</w:t>
      </w:r>
    </w:p>
    <w:p>
      <w:pPr>
        <w:pStyle w:val="BodyText"/>
      </w:pPr>
      <w:r>
        <w:t xml:space="preserve">Turkey Ankara, this transformation has been accelerated by government initiatives such as the e-Defter (Electronic Ledger) and e-Invoice mandates. The Turkish Tax Procedure Law has been amended to require most businesses to issue invoices electronically through authorized service providers. For an</w:t>
      </w:r>
    </w:p>
    <w:p>
      <w:pPr>
        <w:pStyle w:val="BodyText"/>
      </w:pPr>
      <w:r>
        <w:t xml:space="preserve">Accountant, this means that manual data entry is becoming obsolete. Instead, the focus has shifted towards system integration, data security, and real-time financial analysis.</w:t>
      </w:r>
    </w:p>
    <w:p>
      <w:pPr>
        <w:pStyle w:val="BodyText"/>
      </w:pPr>
      <w:r>
        <w:t xml:space="preserve">Ankara’s growing reputation as a technology hub (with the presence of UNITECH and various IT firms) means that local accountants are often at the forefront of adopting cloud-based accounting solutions. The</w:t>
      </w:r>
    </w:p>
    <w:p>
      <w:pPr>
        <w:pStyle w:val="BodyText"/>
      </w:pPr>
      <w:r>
        <w:t xml:space="preserve">Accountant is no longer just a historian of financial data; they are becoming real-time advisors. In</w:t>
      </w:r>
    </w:p>
    <w:p>
      <w:pPr>
        <w:pStyle w:val="BodyText"/>
      </w:pPr>
      <w:r>
        <w:t xml:space="preserve">Turkey Ankara, where competition for top-tier talent is fierce, firms that leverage artificial intelligence and machine learning to predict cash flow trends or detect fraud gains a significant competitive advantage. The ability to interpret big data sets is now as crucial as the ability to balance a ledger.</w:t>
      </w:r>
    </w:p>
    <w:bookmarkEnd w:id="23"/>
    <w:bookmarkStart w:id="24" w:name="Xade0033aa8c073dda421b2d74d7eaf133b08ed9"/>
    <w:p>
      <w:pPr>
        <w:pStyle w:val="Heading3"/>
      </w:pPr>
      <w:r>
        <w:t xml:space="preserve">5. Economic Volatility and Strategic Advisory</w:t>
      </w:r>
    </w:p>
    <w:p>
      <w:pPr>
        <w:pStyle w:val="FirstParagraph"/>
      </w:pPr>
      <w:r>
        <w:t xml:space="preserve">Türkiye has experienced periods of high inflation and currency fluctuation, which pose significant challenges for financial reporting and strategic planning. For an</w:t>
      </w:r>
    </w:p>
    <w:p>
      <w:pPr>
        <w:pStyle w:val="BodyText"/>
      </w:pPr>
      <w:r>
        <w:t xml:space="preserve">Accountant based in</w:t>
      </w:r>
    </w:p>
    <w:p>
      <w:pPr>
        <w:pStyle w:val="BodyText"/>
      </w:pPr>
      <w:r>
        <w:t xml:space="preserve">Turkey Ankara, managing hyperinflation accounting is a frequent reality under TFRS. This involves restating financial statements to account for changes in the general price level, ensuring that asset values and equity are not understated.</w:t>
      </w:r>
    </w:p>
    <w:p>
      <w:pPr>
        <w:pStyle w:val="BodyText"/>
      </w:pPr>
      <w:r>
        <w:t xml:space="preserve">Beyond technical reporting, the</w:t>
      </w:r>
    </w:p>
    <w:p>
      <w:pPr>
        <w:pStyle w:val="BodyText"/>
      </w:pPr>
      <w:r>
        <w:t xml:space="preserve">Accountant serves as a strategic partner. In a volatile economic environment, businesses in Ankara need robust risk management strategies. Accountants must advise clients on hedging strategies for foreign currency exposure, tax optimization within legal boundaries, and liquidity management. The distance between simple compliance and strategic value addition is bridged by the accountant’s ability to interpret macroeconomic indicators—such as Central Bank of Turkey interest rate decisions—and translate them into actionable financial advice for local businesses.</w:t>
      </w:r>
    </w:p>
    <w:bookmarkEnd w:id="24"/>
    <w:bookmarkStart w:id="25" w:name="X54821121eedc309453184b8ce86c4e0efc7d239"/>
    <w:p>
      <w:pPr>
        <w:pStyle w:val="Heading3"/>
      </w:pPr>
      <w:r>
        <w:t xml:space="preserve">6. Ethical Considerations and Professional Integrity</w:t>
      </w:r>
    </w:p>
    <w:p>
      <w:pPr>
        <w:pStyle w:val="FirstParagraph"/>
      </w:pPr>
      <w:r>
        <w:t xml:space="preserve">In any jurisdiction, ethical conduct is paramount, but in</w:t>
      </w:r>
    </w:p>
    <w:p>
      <w:pPr>
        <w:pStyle w:val="BodyText"/>
      </w:pPr>
      <w:r>
        <w:t xml:space="preserve">Turkey Ankara, where political and business interests often intertwine, the pressure on</w:t>
      </w:r>
    </w:p>
    <w:p>
      <w:pPr>
        <w:pStyle w:val="BodyText"/>
      </w:pPr>
      <w:r>
        <w:t xml:space="preserve">Accountants to compromise integrity can be significant. Professional bodies such as the Turkish Chambers of Certified Public Accountants (TMOB) play a crucial role in upholding standards. An</w:t>
      </w:r>
    </w:p>
    <w:p>
      <w:pPr>
        <w:pStyle w:val="BodyText"/>
      </w:pPr>
      <w:r>
        <w:t xml:space="preserve">Accountant must maintain strict independence and objectivity, particularly when auditing government entities or large state-owned enterprises.</w:t>
      </w:r>
    </w:p>
    <w:p>
      <w:pPr>
        <w:pStyle w:val="BodyText"/>
      </w:pPr>
      <w:r>
        <w:t xml:space="preserve">The term paper emphasizes that the reputation of Ankara’s accounting sector relies heavily on trust. Scandals involving financial misrepresentation can have ripple effects throughout the capital’s institutional framework. Therefore, continuous professional education (CPE) is not just a regulatory requirement but a moral imperative for every</w:t>
      </w:r>
    </w:p>
    <w:p>
      <w:pPr>
        <w:pStyle w:val="BodyText"/>
      </w:pPr>
      <w:r>
        <w:t xml:space="preserve">Accountant practicing in this region.</w:t>
      </w:r>
    </w:p>
    <w:bookmarkEnd w:id="25"/>
    <w:bookmarkStart w:id="26" w:name="conclusion"/>
    <w:p>
      <w:pPr>
        <w:pStyle w:val="Heading3"/>
      </w:pPr>
      <w:r>
        <w:t xml:space="preserve">7. Conclusion</w:t>
      </w:r>
    </w:p>
    <w:p>
      <w:pPr>
        <w:pStyle w:val="FirstParagraph"/>
      </w:pPr>
      <w:r>
        <w:t xml:space="preserve">In conclusion, the position of an</w:t>
      </w:r>
    </w:p>
    <w:p>
      <w:pPr>
        <w:pStyle w:val="BodyText"/>
      </w:pPr>
      <w:r>
        <w:t xml:space="preserve">Accountant in</w:t>
      </w:r>
      <w:r>
        <w:t xml:space="preserve"> </w:t>
      </w:r>
      <w:r>
        <w:rPr>
          <w:bCs/>
          <w:b/>
        </w:rPr>
        <w:t xml:space="preserve">Turkey Ankara</w:t>
      </w:r>
      <w:r>
        <w:t xml:space="preserve"> </w:t>
      </w:r>
      <w:r>
        <w:t xml:space="preserve">is complex, demanding, and evolving. It requires a synthesis of international technical knowledge (IFRS/TFRS), local regulatory expertise (Turkish Tax Law and Public Procurement Rules), and adaptability to technological change. As the capital city continues to modernize its infrastructure and integrate deeper into the global economy, the demands on financial professionals will only increase.</w:t>
      </w:r>
    </w:p>
    <w:p>
      <w:pPr>
        <w:pStyle w:val="BodyText"/>
      </w:pPr>
      <w:r>
        <w:t xml:space="preserve">For students and professionals alike, studying accounting in or for</w:t>
      </w:r>
      <w:r>
        <w:t xml:space="preserve"> </w:t>
      </w:r>
      <w:r>
        <w:rPr>
          <w:bCs/>
          <w:b/>
        </w:rPr>
        <w:t xml:space="preserve">Turkey Ankara</w:t>
      </w:r>
      <w:r>
        <w:t xml:space="preserve"> </w:t>
      </w:r>
      <w:r>
        <w:t xml:space="preserve">offers a unique educational opportunity. It provides insight into how emerging markets balance globalization with local sovereignty. The future of accounting in this region lies not just in number-crunching, but in becoming strategic advisors who can navigate the intricate political-economic landscape of the capital. By adhering to high ethical standards and embracing technological innovation,</w:t>
      </w:r>
    </w:p>
    <w:p>
      <w:pPr>
        <w:pStyle w:val="BodyText"/>
      </w:pPr>
      <w:r>
        <w:t xml:space="preserve">Accountants will continue to play a vital role in ensuring transparency and stability within Turkey’s economic engine.</w:t>
      </w:r>
    </w:p>
    <w:bookmarkEnd w:id="26"/>
    <w:bookmarkStart w:id="27" w:name="references-selected"/>
    <w:p>
      <w:pPr>
        <w:pStyle w:val="Heading3"/>
      </w:pPr>
      <w:r>
        <w:t xml:space="preserve">8. References (Selected)</w:t>
      </w:r>
    </w:p>
    <w:p>
      <w:pPr>
        <w:pStyle w:val="FirstParagraph"/>
      </w:pPr>
      <w:r>
        <w:rPr>
          <w:iCs/>
          <w:i/>
        </w:rPr>
        <w:t xml:space="preserve">Note: The following references represent standard sources for this topic.</w:t>
      </w:r>
    </w:p>
    <w:p>
      <w:pPr>
        <w:numPr>
          <w:ilvl w:val="0"/>
          <w:numId w:val="1001"/>
        </w:numPr>
        <w:pStyle w:val="Compact"/>
      </w:pPr>
      <w:r>
        <w:t xml:space="preserve">Turkish Ministry of Treasury and Finance. (2023). "Regulations on Financial Reporting Standards."</w:t>
      </w:r>
    </w:p>
    <w:p>
      <w:pPr>
        <w:numPr>
          <w:ilvl w:val="0"/>
          <w:numId w:val="1001"/>
        </w:numPr>
        <w:pStyle w:val="Compact"/>
      </w:pPr>
      <w:r>
        <w:t xml:space="preserve">Turkish Tax Procedure Law, Article 134 (e-Invoice Regulations).</w:t>
      </w:r>
    </w:p>
    <w:p>
      <w:pPr>
        <w:numPr>
          <w:ilvl w:val="0"/>
          <w:numId w:val="1001"/>
        </w:numPr>
        <w:pStyle w:val="Compact"/>
      </w:pPr>
      <w:r>
        <w:t xml:space="preserve">Istanbul Stock Exchange (Borsa Istanbul) Reporting Guidelines for Listed Companies.</w:t>
      </w:r>
    </w:p>
    <w:p>
      <w:pPr>
        <w:numPr>
          <w:ilvl w:val="0"/>
          <w:numId w:val="1001"/>
        </w:numPr>
        <w:pStyle w:val="Compact"/>
      </w:pPr>
      <w:r>
        <w:t xml:space="preserve">Council of Turkish Chambers of Certified Public Accountants. "Ethical Principles for Accountants."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Accountants in Turkey's Capital</dc:title>
  <dc:creator/>
  <cp:keywords/>
  <dcterms:created xsi:type="dcterms:W3CDTF">2026-07-29T03:50:25Z</dcterms:created>
  <dcterms:modified xsi:type="dcterms:W3CDTF">2026-07-29T03:50:25Z</dcterms:modified>
</cp:coreProperties>
</file>

<file path=docProps/custom.xml><?xml version="1.0" encoding="utf-8"?>
<Properties xmlns="http://schemas.openxmlformats.org/officeDocument/2006/custom-properties" xmlns:vt="http://schemas.openxmlformats.org/officeDocument/2006/docPropsVTypes"/>
</file>