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p>
    <w:bookmarkStart w:id="31" w:name="X578fd509453dff926715735a65be459ccb46aba"/>
    <w:p>
      <w:pPr>
        <w:pStyle w:val="Heading1"/>
      </w:pPr>
      <w:r>
        <w:t xml:space="preserve">The Strategic Role of the Accountant in Venezuela Caracas</w:t>
      </w:r>
    </w:p>
    <w:bookmarkStart w:id="30" w:name="Xad6c50e02becd29ac20ca6c9398365abed7e54c"/>
    <w:p>
      <w:pPr>
        <w:pStyle w:val="Heading2"/>
      </w:pPr>
      <w:r>
        <w:t xml:space="preserve">A Term Paper on Financial Navigation, Regulatory Compliance, and Economic Resilience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Graduate School of Business Administration</w:t>
      </w:r>
      <w:r>
        <w:br/>
      </w:r>
      <w:r>
        <w:rPr>
          <w:bCs/>
          <w:b/>
        </w:rPr>
        <w:t xml:space="preserve">Course:</w:t>
      </w:r>
      <w:r>
        <w:t xml:space="preserve"> </w:t>
      </w:r>
      <w:r>
        <w:t xml:space="preserve">Advanced Accounting in Emerging Markets</w:t>
      </w:r>
    </w:p>
    <w:bookmarkStart w:id="20" w:name="abstract"/>
    <w:p>
      <w:pPr>
        <w:pStyle w:val="Heading3"/>
      </w:pPr>
      <w:r>
        <w:t xml:space="preserve">Abstract</w:t>
      </w:r>
    </w:p>
    <w:p>
      <w:pPr>
        <w:pStyle w:val="FirstParagraph"/>
      </w:pPr>
      <w:r>
        <w:t xml:space="preserve">This term paper explores the multifaceted role of the Accountant within the unique and challenging economic landscape of Venezuela Caracas. As one of South America's most volatile economies, Venezuela presents a distinct set of financial hurdles, including hyperinflationary pressures, currency fluctuations, and complex regulatory frameworks. The accountant in this context transcends traditional bookkeeping duties to become a strategic navigator of survival and compliance. This document analyzes the specific responsibilities required to manage fiscal reporting under the General Law of Taxes (Ley Orgánica de la Administración Tributaria), handle multi-currency environments involving both the Bolívar Digital and foreign exchange markets, and maintain operational continuity for businesses in Caracas.</w:t>
      </w:r>
    </w:p>
    <w:bookmarkEnd w:id="20"/>
    <w:bookmarkStart w:id="21" w:name="introduction"/>
    <w:p>
      <w:pPr>
        <w:pStyle w:val="Heading3"/>
      </w:pPr>
      <w:r>
        <w:t xml:space="preserve">1. Introduction</w:t>
      </w:r>
    </w:p>
    <w:p>
      <w:pPr>
        <w:pStyle w:val="FirstParagraph"/>
      </w:pPr>
      <w:r>
        <w:t xml:space="preserve">The profession of accounting is traditionally viewed as a technical discipline focused on accuracy, transparency, and compliance. However, in the specific context of</w:t>
      </w:r>
      <w:r>
        <w:t xml:space="preserve"> </w:t>
      </w:r>
      <w:r>
        <w:rPr>
          <w:bCs/>
          <w:b/>
        </w:rPr>
        <w:t xml:space="preserve">Venezuela Caracas</w:t>
      </w:r>
      <w:r>
        <w:t xml:space="preserve">, the role expands into that of an economic survivalist. The city serves as the commercial heart of Venezuela, hosting thousands of small and medium-sized enterprises (SMEs) that struggle daily against macroeconomic instability. For the modern</w:t>
      </w:r>
      <w:r>
        <w:t xml:space="preserve"> </w:t>
      </w:r>
      <w:r>
        <w:rPr>
          <w:bCs/>
          <w:b/>
        </w:rPr>
        <w:t xml:space="preserve">Accountant</w:t>
      </w:r>
      <w:r>
        <w:t xml:space="preserve"> </w:t>
      </w:r>
      <w:r>
        <w:t xml:space="preserve">operating in this region, technical proficiency in accounting standards is only the baseline; adaptability to hyperinflationary environments and mastery of local tax legislation are paramount.</w:t>
      </w:r>
    </w:p>
    <w:p>
      <w:pPr>
        <w:pStyle w:val="BodyText"/>
      </w:pPr>
      <w:r>
        <w:t xml:space="preserve">This term paper argues that the accountant in</w:t>
      </w:r>
      <w:r>
        <w:t xml:space="preserve"> </w:t>
      </w:r>
      <w:r>
        <w:rPr>
          <w:bCs/>
          <w:b/>
        </w:rPr>
        <w:t xml:space="preserve">Venezuela Caracas</w:t>
      </w:r>
      <w:r>
        <w:t xml:space="preserve"> </w:t>
      </w:r>
      <w:r>
        <w:t xml:space="preserve">plays a critical strategic function. They are not merely record-keepers but essential advisors who guide corporate entities through regulatory minefields, currency devaluation risks, and the dual-currency reality that characterizes daily transactions. Understanding the local context is vital for any professional seeking to practice accounting effectively in this region.</w:t>
      </w:r>
    </w:p>
    <w:bookmarkEnd w:id="21"/>
    <w:bookmarkStart w:id="22" w:name="X5ec749157b63aacbbc75ad9a56c35cb062f1474"/>
    <w:p>
      <w:pPr>
        <w:pStyle w:val="Heading3"/>
      </w:pPr>
      <w:r>
        <w:t xml:space="preserve">2. The Regulatory Landscape: SAT and Tax Compliance</w:t>
      </w:r>
    </w:p>
    <w:p>
      <w:pPr>
        <w:pStyle w:val="FirstParagraph"/>
      </w:pPr>
      <w:r>
        <w:t xml:space="preserve">In</w:t>
      </w:r>
      <w:r>
        <w:t xml:space="preserve"> </w:t>
      </w:r>
      <w:r>
        <w:rPr>
          <w:bCs/>
          <w:b/>
        </w:rPr>
        <w:t xml:space="preserve">Venezuela Caracas</w:t>
      </w:r>
      <w:r>
        <w:t xml:space="preserve">, regulatory compliance is a rigorous process governed by the Servicio Autónomo de Administración Tributaria (SAT). For the</w:t>
      </w:r>
      <w:r>
        <w:t xml:space="preserve"> </w:t>
      </w:r>
      <w:r>
        <w:rPr>
          <w:bCs/>
          <w:b/>
        </w:rPr>
        <w:t xml:space="preserve">Accountant</w:t>
      </w:r>
      <w:r>
        <w:t xml:space="preserve">, keeping abreast of changes in fiscal policy is an ongoing necessity rather than a periodic task. The General Law of Taxes and its regulations impose strict deadlines for filing income tax, value-added tax (IVA), and municipal taxes.</w:t>
      </w:r>
    </w:p>
    <w:p>
      <w:pPr>
        <w:pStyle w:val="BodyText"/>
      </w:pPr>
      <w:r>
        <w:t xml:space="preserve">The complexity arises from the frequent updates to tax brackets, withholding certificates (Retenciones), and electronic invoicing requirements. An accountant must ensure that all documentation is digitally submitted through the SAT’s portal. Failure to comply can result in severe fines that may cripple a business already struggling financially. Furthermore, the concept of "fiscalization" or audit by state authorities requires accountants to maintain impeccable records that can withstand scrutiny, even during periods where digital infrastructure may be unstable.</w:t>
      </w:r>
    </w:p>
    <w:bookmarkEnd w:id="22"/>
    <w:bookmarkStart w:id="25" w:name="Xd146373c835b71cedb8f3c4a5badeae2a165136"/>
    <w:p>
      <w:pPr>
        <w:pStyle w:val="Heading3"/>
      </w:pPr>
      <w:r>
        <w:t xml:space="preserve">3. Accounting for Hyperinflation and Currency Fluctuation</w:t>
      </w:r>
    </w:p>
    <w:p>
      <w:pPr>
        <w:pStyle w:val="FirstParagraph"/>
      </w:pPr>
      <w:r>
        <w:t xml:space="preserve">The most defining characteristic of accounting in</w:t>
      </w:r>
      <w:r>
        <w:t xml:space="preserve"> </w:t>
      </w:r>
      <w:r>
        <w:rPr>
          <w:bCs/>
          <w:b/>
        </w:rPr>
        <w:t xml:space="preserve">Venezuela Caracas</w:t>
      </w:r>
      <w:r>
        <w:t xml:space="preserve"> </w:t>
      </w:r>
      <w:r>
        <w:t xml:space="preserve">is the presence of chronic inflation and currency volatility. The national currency, the Bolívar Digital (BS), often experiences rapid depreciation against hard currencies like the US Dollar (USD). This necessitates specialized accounting treatments that differ significantly from stable economies.</w:t>
      </w:r>
    </w:p>
    <w:bookmarkStart w:id="23" w:name="multi-currency-transactions"/>
    <w:p>
      <w:pPr>
        <w:pStyle w:val="Heading4"/>
      </w:pPr>
      <w:r>
        <w:t xml:space="preserve">3.1 Multi-Currency Transactions</w:t>
      </w:r>
    </w:p>
    <w:p>
      <w:pPr>
        <w:pStyle w:val="FirstParagraph"/>
      </w:pPr>
      <w:r>
        <w:t xml:space="preserve">In daily business operations in Caracas, transactions often occur in USD, while official reporting must be done in Bolivars. The</w:t>
      </w:r>
      <w:r>
        <w:t xml:space="preserve"> </w:t>
      </w:r>
      <w:r>
        <w:rPr>
          <w:bCs/>
          <w:b/>
        </w:rPr>
        <w:t xml:space="preserve">Accountant</w:t>
      </w:r>
      <w:r>
        <w:t xml:space="preserve"> </w:t>
      </w:r>
      <w:r>
        <w:t xml:space="preserve">must establish a consistent method for translating foreign currency transactions into the functional currency at the date of the transaction and adjusting monetary items at period-end exchange rates. This process requires monitoring official exchange rates (such as those set by the Superintendencia Nacional de Criptomonedas or BCV) alongside parallel market rates, which can create significant discrepancies in financial reporting.</w:t>
      </w:r>
    </w:p>
    <w:bookmarkEnd w:id="23"/>
    <w:bookmarkStart w:id="24" w:name="inflation-accounting-standards"/>
    <w:p>
      <w:pPr>
        <w:pStyle w:val="Heading4"/>
      </w:pPr>
      <w:r>
        <w:t xml:space="preserve">3.2 Inflation Accounting Standards</w:t>
      </w:r>
    </w:p>
    <w:p>
      <w:pPr>
        <w:pStyle w:val="FirstParagraph"/>
      </w:pPr>
      <w:r>
        <w:t xml:space="preserve">&gt;Venezuela has specific provisions for accounting in hyperinflationary environments. Accountants must apply restatement techniques to balance sheets and income statements to reflect the true economic value of assets and liabilities. This involves adjusting historical costs using inflation indices provided by national institutes. Without these adjustments, financial statements would be misleading, showing artificial profits that are actually just monetary gains from inflation rather than real operational success.</w:t>
      </w:r>
    </w:p>
    <w:bookmarkEnd w:id="24"/>
    <w:bookmarkEnd w:id="25"/>
    <w:bookmarkStart w:id="26" w:name="X8ef1284749b451bf140fa99bfcb5a6e267eac9a"/>
    <w:p>
      <w:pPr>
        <w:pStyle w:val="Heading3"/>
      </w:pPr>
      <w:r>
        <w:t xml:space="preserve">4. The Strategic Role of the Accountant in Business Continuity</w:t>
      </w:r>
    </w:p>
    <w:p>
      <w:pPr>
        <w:pStyle w:val="FirstParagraph"/>
      </w:pPr>
      <w:r>
        <w:t xml:space="preserve">Beyond compliance and reporting, the accountant in</w:t>
      </w:r>
      <w:r>
        <w:t xml:space="preserve"> </w:t>
      </w:r>
      <w:r>
        <w:rPr>
          <w:bCs/>
          <w:b/>
        </w:rPr>
        <w:t xml:space="preserve">Venezuela Caracas</w:t>
      </w:r>
      <w:r>
        <w:t xml:space="preserve"> </w:t>
      </w:r>
      <w:r>
        <w:t xml:space="preserve">acts as a strategic partner for business continuity. In an environment where access to credit is scarce and cash flow is unpredictable, financial planning becomes a matter of life and death for companies.</w:t>
      </w:r>
    </w:p>
    <w:p>
      <w:pPr>
        <w:pStyle w:val="BodyText"/>
      </w:pPr>
      <w:r>
        <w:rPr>
          <w:bCs/>
          <w:b/>
        </w:rPr>
        <w:t xml:space="preserve">Liquidity Management:</w:t>
      </w:r>
      <w:r>
        <w:t xml:space="preserve"> </w:t>
      </w:r>
      <w:r>
        <w:t xml:space="preserve">Accountants must forecast cash flows meticulously, considering the speed of currency depreciation. Holding Bolívar balances can result in immediate loss of purchasing power; therefore, accountants often advise clients on rapid conversion strategies or holding assets in foreign currencies where legally permissible.</w:t>
      </w:r>
    </w:p>
    <w:p>
      <w:pPr>
        <w:pStyle w:val="BodyText"/>
      </w:pPr>
      <w:r>
        <w:rPr>
          <w:bCs/>
          <w:b/>
        </w:rPr>
        <w:t xml:space="preserve">Tax Optimization:</w:t>
      </w:r>
      <w:r>
        <w:t xml:space="preserve"> </w:t>
      </w:r>
      <w:r>
        <w:t xml:space="preserve">Within the bounds of legality, accountants help businesses navigate tax incentives available for certain industries or zones in Caracas. They structure operations to minimize fiscal burdens while ensuring full compliance with the intricate web of national and municipal taxes applicable in the capital city.</w:t>
      </w:r>
    </w:p>
    <w:bookmarkEnd w:id="26"/>
    <w:bookmarkStart w:id="27" w:name="challenges-and-ethical-considerations"/>
    <w:p>
      <w:pPr>
        <w:pStyle w:val="Heading3"/>
      </w:pPr>
      <w:r>
        <w:t xml:space="preserve">5. Challenges and Ethical Considerations</w:t>
      </w:r>
    </w:p>
    <w:p>
      <w:pPr>
        <w:pStyle w:val="FirstParagraph"/>
      </w:pPr>
      <w:r>
        <w:t xml:space="preserve">The environment in</w:t>
      </w:r>
      <w:r>
        <w:t xml:space="preserve"> </w:t>
      </w:r>
      <w:r>
        <w:rPr>
          <w:bCs/>
          <w:b/>
        </w:rPr>
        <w:t xml:space="preserve">Venezuela Caracas</w:t>
      </w:r>
      <w:r>
        <w:t xml:space="preserve"> </w:t>
      </w:r>
      <w:r>
        <w:t xml:space="preserve">poses significant ethical challenges for accountants. Pressure from management to manipulate financial statements to hide losses or evade taxes is a prevalent risk. Additionally, the lack of consistent digital infrastructure requires accountants to maintain robust backup systems for financial data, protecting against technical failures that could lead to non-compliance penalties.</w:t>
      </w:r>
    </w:p>
    <w:p>
      <w:pPr>
        <w:pStyle w:val="BodyText"/>
      </w:pPr>
      <w:r>
        <w:t xml:space="preserve">Maintaining professional integrity while navigating these challenges requires strong ethical grounding. The</w:t>
      </w:r>
      <w:r>
        <w:t xml:space="preserve"> </w:t>
      </w:r>
      <w:r>
        <w:rPr>
          <w:bCs/>
          <w:b/>
        </w:rPr>
        <w:t xml:space="preserve">Accountant</w:t>
      </w:r>
      <w:r>
        <w:t xml:space="preserve"> </w:t>
      </w:r>
      <w:r>
        <w:t xml:space="preserve">must balance the immediate survival needs of the business with long-term legal and ethical obligations to stakeholders, including the state and investors.</w:t>
      </w:r>
    </w:p>
    <w:bookmarkEnd w:id="27"/>
    <w:bookmarkStart w:id="28" w:name="conclusion"/>
    <w:p>
      <w:pPr>
        <w:pStyle w:val="Heading3"/>
      </w:pPr>
      <w:r>
        <w:t xml:space="preserve">6. Conclusion</w:t>
      </w:r>
    </w:p>
    <w:p>
      <w:pPr>
        <w:pStyle w:val="FirstParagraph"/>
      </w:pPr>
      <w:r>
        <w:t xml:space="preserve">The role of the accountant in</w:t>
      </w:r>
      <w:r>
        <w:t xml:space="preserve"> </w:t>
      </w:r>
      <w:r>
        <w:rPr>
          <w:bCs/>
          <w:b/>
        </w:rPr>
        <w:t xml:space="preserve">Venezuela Caracas</w:t>
      </w:r>
      <w:r>
        <w:t xml:space="preserve"> </w:t>
      </w:r>
      <w:r>
        <w:t xml:space="preserve">is far more complex than in stable economies. It demands a hybrid skill set combining technical accounting expertise, deep knowledge of local tax law, and strategic financial management skills tailored to high-inflation environments. As Venezuela continues its economic recovery processes, the need for skilled professionals who can provide clarity amidst chaos remains critical. For businesses operating in</w:t>
      </w:r>
      <w:r>
        <w:t xml:space="preserve"> </w:t>
      </w:r>
      <w:r>
        <w:rPr>
          <w:bCs/>
          <w:b/>
        </w:rPr>
        <w:t xml:space="preserve">Venezuela Caracas</w:t>
      </w:r>
      <w:r>
        <w:t xml:space="preserve">, the accountant is not just a regulatory requirement but a vital strategic asset capable of guiding the organization through economic turbulence towards stability and growth.</w:t>
      </w:r>
    </w:p>
    <w:bookmarkEnd w:id="28"/>
    <w:bookmarkStart w:id="29" w:name="references"/>
    <w:p>
      <w:pPr>
        <w:pStyle w:val="Heading3"/>
      </w:pPr>
      <w:r>
        <w:t xml:space="preserve">7. References</w:t>
      </w:r>
    </w:p>
    <w:p>
      <w:pPr>
        <w:numPr>
          <w:ilvl w:val="0"/>
          <w:numId w:val="1001"/>
        </w:numPr>
        <w:pStyle w:val="Compact"/>
      </w:pPr>
      <w:r>
        <w:t xml:space="preserve">Banco Central de Venezuela. (2023).</w:t>
      </w:r>
      <w:r>
        <w:t xml:space="preserve"> </w:t>
      </w:r>
      <w:r>
        <w:rPr>
          <w:iCs/>
          <w:i/>
        </w:rPr>
        <w:t xml:space="preserve">Economic Reports and Statistical Data on Inflation Rates</w:t>
      </w:r>
      <w:r>
        <w:t xml:space="preserve">.</w:t>
      </w:r>
    </w:p>
    <w:p>
      <w:pPr>
        <w:numPr>
          <w:ilvl w:val="0"/>
          <w:numId w:val="1001"/>
        </w:numPr>
        <w:pStyle w:val="Compact"/>
      </w:pPr>
      <w:r>
        <w:t xml:space="preserve">Government of Venezuela. (2019).</w:t>
      </w:r>
      <w:r>
        <w:t xml:space="preserve"> </w:t>
      </w:r>
      <w:r>
        <w:rPr>
          <w:iCs/>
          <w:i/>
        </w:rPr>
        <w:t xml:space="preserve">Ley Orgánica de la Administración Tributaria</w:t>
      </w:r>
      <w:r>
        <w:t xml:space="preserve">. Gaceta Oficial.</w:t>
      </w:r>
    </w:p>
    <w:p>
      <w:pPr>
        <w:numPr>
          <w:ilvl w:val="0"/>
          <w:numId w:val="1001"/>
        </w:numPr>
        <w:pStyle w:val="Compact"/>
      </w:pPr>
      <w:r>
        <w:t xml:space="preserve">Nicolaro, M. (2021). "Accounting in Hyperinflationary Economies: The Case of Venezuela."</w:t>
      </w:r>
      <w:r>
        <w:t xml:space="preserve"> </w:t>
      </w:r>
      <w:r>
        <w:rPr>
          <w:iCs/>
          <w:i/>
        </w:rPr>
        <w:t xml:space="preserve">Journal of International Financial Management &amp; Accounting</w:t>
      </w:r>
      <w:r>
        <w:t xml:space="preserve">.</w:t>
      </w:r>
    </w:p>
    <w:p>
      <w:pPr>
        <w:numPr>
          <w:ilvl w:val="0"/>
          <w:numId w:val="1001"/>
        </w:numPr>
        <w:pStyle w:val="Compact"/>
      </w:pPr>
      <w:r>
        <w:t xml:space="preserve">Servicio Autónomo de Administración Tributaria (SAT). (2023).</w:t>
      </w:r>
      <w:r>
        <w:t xml:space="preserve"> </w:t>
      </w:r>
      <w:r>
        <w:rPr>
          <w:iCs/>
          <w:i/>
        </w:rPr>
        <w:t xml:space="preserve">Regulations for Electronic Invoicing and Tax Filing</w:t>
      </w:r>
      <w:r>
        <w:t xml:space="preserve">.</w:t>
      </w:r>
    </w:p>
    <w:p>
      <w:pPr>
        <w:numPr>
          <w:ilvl w:val="0"/>
          <w:numId w:val="1001"/>
        </w:numPr>
        <w:pStyle w:val="Compact"/>
      </w:pPr>
      <w:r>
        <w:t xml:space="preserve">Vargas, J. (2022). "Challenges of Multicurrency Reporting in Caracas SMEs."</w:t>
      </w:r>
      <w:r>
        <w:t xml:space="preserve"> </w:t>
      </w:r>
      <w:r>
        <w:rPr>
          <w:iCs/>
          <w:i/>
        </w:rPr>
        <w:t xml:space="preserve">Venezuelan Business Review</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Venezuela Caracas</dc:title>
  <dc:creator/>
  <dc:language>en</dc:language>
  <cp:keywords/>
  <dcterms:created xsi:type="dcterms:W3CDTF">2026-07-29T18:20:11Z</dcterms:created>
  <dcterms:modified xsi:type="dcterms:W3CDTF">2026-07-29T18:20:11Z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