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250c97bbca1f9a19b9eb357e4ee7af28c7f4249"/>
    <w:p>
      <w:pPr>
        <w:pStyle w:val="Heading1"/>
      </w:pPr>
      <w:r>
        <w:t xml:space="preserve">The Evolving Role of the Architect in New Zealand Auckland</w:t>
      </w:r>
    </w:p>
    <w:p>
      <w:pPr>
        <w:pStyle w:val="FirstParagraph"/>
      </w:pPr>
      <w:r>
        <w:rPr>
          <w:bCs/>
          <w:b/>
        </w:rPr>
        <w:t xml:space="preserve">A Term Paper Submitted for Advanced Construction Studies</w:t>
      </w:r>
    </w:p>
    <w:p>
      <w:pPr>
        <w:pStyle w:val="BodyText"/>
      </w:pPr>
      <w:r>
        <w:rPr>
          <w:iCs/>
          <w:i/>
        </w:rPr>
        <w:t xml:space="preserve">Focusing on Regulatory Frameworks, Sustainable Design, and Cultural Responsibility in a Rapidly Growing Urban Centre</w:t>
      </w:r>
    </w:p>
    <w:bookmarkStart w:id="20" w:name="abstract"/>
    <w:p>
      <w:pPr>
        <w:pStyle w:val="Heading2"/>
      </w:pPr>
      <w:r>
        <w:t xml:space="preserve">Abstract</w:t>
      </w:r>
    </w:p>
    <w:p>
      <w:pPr>
        <w:pStyle w:val="FirstParagraph"/>
      </w:pPr>
      <w:r>
        <w:t xml:space="preserve">This term paper examines the multifaceted role of the Architect within the specific context of New Zealand Auckland. As one of the fastest-growing urban centers in Oceania, Auckland presents unique challenges and opportunities that extend far beyond traditional aesthetic considerations. This document explores how an Architect must navigate complex regulatory environments, such as the Resource Management Act (RMA) and its successor frameworks, while addressing critical issues regarding seismic resilience, environmental sustainability, and indigenous cultural integration. By analyzing these factors, this paper argues that the modern Architect in Auckland is not merely a designer of buildings but a crucial stakeholder in urban planning policy implementation.</w:t>
      </w:r>
    </w:p>
    <w:bookmarkEnd w:id="20"/>
    <w:bookmarkStart w:id="21" w:name="introduction"/>
    <w:p>
      <w:pPr>
        <w:pStyle w:val="Heading2"/>
      </w:pPr>
      <w:r>
        <w:t xml:space="preserve">Introduction</w:t>
      </w:r>
    </w:p>
    <w:p>
      <w:pPr>
        <w:pStyle w:val="FirstParagraph"/>
      </w:pPr>
      <w:r>
        <w:t xml:space="preserve">The profession of architecture has undergone significant transformation globally, but nowhere is this more evident than in New Zealand Auckland. Historically defined by its volcanic geography and maritime climate, Auckland has experienced unprecedented population growth over the last two decades. This demographic surge places immense pressure on infrastructure, housing supply, and environmental resources. In this context, the Architect serves as the primary mediator between human habitation needs and physical constraints.</w:t>
      </w:r>
    </w:p>
    <w:p>
      <w:pPr>
        <w:pStyle w:val="BodyText"/>
      </w:pPr>
      <w:r>
        <w:t xml:space="preserve">Auckland’s unique position as a "City of Sails" with diverse topography requires specialized design approaches that differ significantly from flat-land metropolitan planning. Furthermore, New Zealand’s legal framework regarding building consent and environmental impact mandates a rigorous standard of practice. Consequently, understanding the specific demands placed on an Architect in New Zealand Auckland requires an examination of regulatory compliance, climate responsiveness, and sociocultural obligations.</w:t>
      </w:r>
    </w:p>
    <w:bookmarkEnd w:id="21"/>
    <w:bookmarkStart w:id="24" w:name="regulatory-frameworks-and-compliance"/>
    <w:p>
      <w:pPr>
        <w:pStyle w:val="Heading2"/>
      </w:pPr>
      <w:r>
        <w:t xml:space="preserve">Regulatory Frameworks and Compliance</w:t>
      </w:r>
    </w:p>
    <w:p>
      <w:pPr>
        <w:pStyle w:val="FirstParagraph"/>
      </w:pPr>
      <w:r>
        <w:t xml:space="preserve">A central responsibility of any Architect is ensuring that designs comply with local council regulations. In Auckland, this primarily involves navigating the rules set by Auckland Council. The transition from the Resource Management Act 1991 to new environmental legislation has shifted the focus toward long-term sustainability outcomes.</w:t>
      </w:r>
    </w:p>
    <w:bookmarkStart w:id="22" w:name="the-building-code-and-consent-process"/>
    <w:p>
      <w:pPr>
        <w:pStyle w:val="Heading3"/>
      </w:pPr>
      <w:r>
        <w:t xml:space="preserve">The Building Code and Consent Process</w:t>
      </w:r>
    </w:p>
    <w:p>
      <w:pPr>
        <w:pStyle w:val="FirstParagraph"/>
      </w:pPr>
      <w:r>
        <w:t xml:space="preserve">In New Zealand, all building work must comply with the New Zealand Building Code (NZBC). For an Architect working in Auckland, this means rigorous attention to structural integrity, particularly given the city’s location on active fault lines. The NZBC is performance-based rather than prescriptive, allowing for innovation but requiring robust justification from the Architect. In Auckland specifically, seismic design standards are paramount due to the potential for significant ground shaking.</w:t>
      </w:r>
    </w:p>
    <w:bookmarkEnd w:id="22"/>
    <w:bookmarkStart w:id="23" w:name="auckland-unitary-plan"/>
    <w:p>
      <w:pPr>
        <w:pStyle w:val="Heading3"/>
      </w:pPr>
      <w:r>
        <w:t xml:space="preserve">Auckland Unitary Plan</w:t>
      </w:r>
    </w:p>
    <w:p>
      <w:pPr>
        <w:pStyle w:val="FirstParagraph"/>
      </w:pPr>
      <w:r>
        <w:t xml:space="preserve">The Auckland Unitary Plan plays a critical role in dictating where and how an Architect can build. It governs density, height limits, heritage protection, and ecological management. For instance, the plan distinguishes between "City Centre," "Mixed Use," and "Residential Zone" areas with varying flexibility for apartment developments versus detached housing. An Architect must possess deep knowledge of these zoning laws to maximize site potential while adhering to setback requirements and solar access rights for neighbors.</w:t>
      </w:r>
    </w:p>
    <w:bookmarkEnd w:id="23"/>
    <w:bookmarkEnd w:id="24"/>
    <w:bookmarkStart w:id="27" w:name="sustainability-and-climate-resilience"/>
    <w:p>
      <w:pPr>
        <w:pStyle w:val="Heading2"/>
      </w:pPr>
      <w:r>
        <w:t xml:space="preserve">Sustainability and Climate Resilience</w:t>
      </w:r>
    </w:p>
    <w:p>
      <w:pPr>
        <w:pStyle w:val="FirstParagraph"/>
      </w:pPr>
      <w:r>
        <w:t xml:space="preserve">Auckland’s climate is characterized by high rainfall, humidity, and moderate temperatures. These conditions present specific challenges for building envelopes. An Architect in this region must prioritize moisture management to prevent mold growth and structural decay caused by rot.</w:t>
      </w:r>
    </w:p>
    <w:bookmarkStart w:id="25" w:name="eco-friendly-design-practices"/>
    <w:p>
      <w:pPr>
        <w:pStyle w:val="Heading3"/>
      </w:pPr>
      <w:r>
        <w:t xml:space="preserve">Eco-Friendly Design Practices</w:t>
      </w:r>
    </w:p>
    <w:p>
      <w:pPr>
        <w:pStyle w:val="FirstParagraph"/>
      </w:pPr>
      <w:r>
        <w:t xml:space="preserve">Sustainability is no longer optional in New Zealand Auckland; it is a regulatory and ethical imperative. The Architects Board of New Zealand has committed to the Net Zero Carbon Buildings Challenge, urging practitioners to reduce embodied and operational carbon. In Auckland, this translates to:</w:t>
      </w:r>
    </w:p>
    <w:p>
      <w:pPr>
        <w:numPr>
          <w:ilvl w:val="0"/>
          <w:numId w:val="1001"/>
        </w:numPr>
        <w:pStyle w:val="Compact"/>
      </w:pPr>
      <w:r>
        <w:rPr>
          <w:bCs/>
          <w:b/>
        </w:rPr>
        <w:t xml:space="preserve">Passive Solar Design:</w:t>
      </w:r>
      <w:r>
        <w:t xml:space="preserve"> </w:t>
      </w:r>
      <w:r>
        <w:t xml:space="preserve">Orienting buildings in Auckland’s northern hemisphere-style latitude (southern hemisphere) to maximize winter sun exposure while minimizing summer heat gain.</w:t>
      </w:r>
    </w:p>
    <w:p>
      <w:pPr>
        <w:numPr>
          <w:ilvl w:val="0"/>
          <w:numId w:val="1001"/>
        </w:numPr>
        <w:pStyle w:val="Compact"/>
      </w:pPr>
      <w:r>
        <w:rPr>
          <w:bCs/>
          <w:b/>
        </w:rPr>
        <w:t xml:space="preserve">Natural Ventilation:</w:t>
      </w:r>
      <w:r>
        <w:t xml:space="preserve"> </w:t>
      </w:r>
      <w:r>
        <w:t xml:space="preserve">Utilizing the prevailing breezes from the Waitematā and Manukau harbors to reduce reliance on mechanical cooling.</w:t>
      </w:r>
    </w:p>
    <w:p>
      <w:pPr>
        <w:numPr>
          <w:ilvl w:val="0"/>
          <w:numId w:val="1001"/>
        </w:numPr>
        <w:pStyle w:val="Compact"/>
      </w:pPr>
      <w:r>
        <w:rPr>
          <w:bCs/>
          <w:b/>
        </w:rPr>
        <w:t xml:space="preserve">Sustainable Materials:</w:t>
      </w:r>
    </w:p>
    <w:bookmarkEnd w:id="25"/>
    <w:bookmarkStart w:id="26" w:name="flood-and-stormwater-management"/>
    <w:p>
      <w:pPr>
        <w:pStyle w:val="Heading3"/>
      </w:pPr>
      <w:r>
        <w:t xml:space="preserve">Flood and Stormwater Management</w:t>
      </w:r>
    </w:p>
    <w:p>
      <w:pPr>
        <w:pStyle w:val="FirstParagraph"/>
      </w:pPr>
      <w:r>
        <w:t xml:space="preserve">Auckland’s topography includes numerous low-lying areas prone to flooding. An Architect must collaborate closely with civil engineers to integrate stormwater management systems, such as permeable paving and rain gardens, into the architectural design. Failure to account for these hydrological factors can result in significant damage and non-compliance with Auckland Council’s stormwater bylaws.</w:t>
      </w:r>
    </w:p>
    <w:bookmarkEnd w:id="26"/>
    <w:bookmarkEnd w:id="27"/>
    <w:bookmarkStart w:id="30" w:name="X47fb9ed54cdb97d59120dd7ac85c587bb29ff1d"/>
    <w:p>
      <w:pPr>
        <w:pStyle w:val="Heading2"/>
      </w:pPr>
      <w:r>
        <w:t xml:space="preserve">Cultural Responsibility and Indigenous Integration</w:t>
      </w:r>
    </w:p>
    <w:p>
      <w:pPr>
        <w:pStyle w:val="FirstParagraph"/>
      </w:pPr>
      <w:r>
        <w:t xml:space="preserve">A distinct aspect of practicing architecture in New Zealand is the obligation to engage with Te Ao Māori (the Māori world). The Treaty of Waitangi, New Zealand’s founding document, imposes a duty on professionals to act in a manner that respects Māori interests and culture.</w:t>
      </w:r>
    </w:p>
    <w:bookmarkStart w:id="28" w:name="collaboration-with-kaumātua"/>
    <w:p>
      <w:pPr>
        <w:pStyle w:val="Heading3"/>
      </w:pPr>
      <w:r>
        <w:t xml:space="preserve">Collaboration with Kaumātua</w:t>
      </w:r>
    </w:p>
    <w:p>
      <w:pPr>
        <w:pStyle w:val="FirstParagraph"/>
      </w:pPr>
      <w:r>
        <w:t xml:space="preserve">In Auckland, where urban development often intersects with sites of historical significance to local iwi (tribes), an Architect must facilitate meaningful consultation with kaumātua (elders). This is not merely a procedural hurdle but a fundamental design input. Understanding the spiritual connection to land (whenua) can influence site placement, orientation, and material selection.</w:t>
      </w:r>
    </w:p>
    <w:bookmarkEnd w:id="28"/>
    <w:bookmarkStart w:id="29" w:name="incorporating-māori-design-principles"/>
    <w:p>
      <w:pPr>
        <w:pStyle w:val="Heading3"/>
      </w:pPr>
      <w:r>
        <w:t xml:space="preserve">Incorporating Māori Design Principles</w:t>
      </w:r>
    </w:p>
    <w:p>
      <w:pPr>
        <w:pStyle w:val="FirstParagraph"/>
      </w:pPr>
      <w:r>
        <w:t xml:space="preserve">Modern Auckland architecture increasingly reflects biculturalism. Concepts such as "Mana" (status/prestige) and "Whanaungatanga" (relationships/connectivity) are being integrated into building designs. For example, communal spaces may be designed to encourage gathering and interaction, reflecting the importance of community in Māori culture. An Architect who ignores these cultural dimensions risks creating sterile environments that lack social cohesion in Auckland’s diverse communities.</w:t>
      </w:r>
    </w:p>
    <w:bookmarkEnd w:id="29"/>
    <w:bookmarkEnd w:id="30"/>
    <w:bookmarkStart w:id="31" w:name="housing-crisis-and-urban-density"/>
    <w:p>
      <w:pPr>
        <w:pStyle w:val="Heading2"/>
      </w:pPr>
      <w:r>
        <w:t xml:space="preserve">Housing Crisis and Urban Density</w:t>
      </w:r>
    </w:p>
    <w:p>
      <w:pPr>
        <w:pStyle w:val="FirstParagraph"/>
      </w:pPr>
      <w:r>
        <w:t xml:space="preserve">Auckland faces a severe housing shortage, with property prices among the highest in the world relative to income. The Government of New Zealand has recently amended planning rules to encourage medium-density housing (such as terraced houses and townhouses) in areas previously zoned exclusively for single-family homes.</w:t>
      </w:r>
    </w:p>
    <w:p>
      <w:pPr>
        <w:pStyle w:val="BodyText"/>
      </w:pPr>
      <w:r>
        <w:t xml:space="preserve">The Architect is at the forefront of this shift. They must demonstrate how higher density can be achieved without sacrificing quality of life, privacy, or amenity space. Creative use of courtyards, rooftop terraces, and split-level designs allows Architects to maintain light and ventilation in denser Auckland neighborhoods. This transition requires a departure from traditional suburban design norms toward more innovative spatial solutions.</w:t>
      </w:r>
    </w:p>
    <w:bookmarkEnd w:id="31"/>
    <w:bookmarkStart w:id="32" w:name="conclusion"/>
    <w:p>
      <w:pPr>
        <w:pStyle w:val="Heading2"/>
      </w:pPr>
      <w:r>
        <w:t xml:space="preserve">Conclusion</w:t>
      </w:r>
    </w:p>
    <w:p>
      <w:pPr>
        <w:pStyle w:val="FirstParagraph"/>
      </w:pPr>
      <w:r>
        <w:t xml:space="preserve">In conclusion, the role of an Architect in New Zealand Auckland is complex, demanding, and culturally significant. It extends well beyond the creation of aesthetically pleasing structures. The modern Architect must be a regulator-compliant expert, a sustainability advocate, a cultural liaison with Māori communities, and an innovator in housing density solutions.</w:t>
      </w:r>
    </w:p>
    <w:p>
      <w:pPr>
        <w:pStyle w:val="BodyText"/>
      </w:pPr>
      <w:r>
        <w:t xml:space="preserve">As Auckland continues to grow and face the pressures of climate change and population influx, the proficiency of its Architects will directly influence the livability and resilience of the city. Therefore, education and practice in this region must emphasize not only technical building skills but also a deep understanding of local ecology, indigenous culture, and regulatory frameworks. Only through such holistic expertise can an Architect effectively serve New Zealand Auckland in creating a sustainable future.</w:t>
      </w:r>
    </w:p>
    <w:bookmarkEnd w:id="32"/>
    <w:bookmarkStart w:id="33" w:name="references"/>
    <w:p>
      <w:pPr>
        <w:pStyle w:val="Heading2"/>
      </w:pPr>
      <w:r>
        <w:t xml:space="preserve">References</w:t>
      </w:r>
    </w:p>
    <w:p>
      <w:pPr>
        <w:numPr>
          <w:ilvl w:val="0"/>
          <w:numId w:val="1002"/>
        </w:numPr>
        <w:pStyle w:val="Compact"/>
      </w:pPr>
      <w:r>
        <w:t xml:space="preserve">Auckland Council. (2016). *Auckland Unitary Plan Operative in Part*. Auckland Council.</w:t>
      </w:r>
    </w:p>
    <w:p>
      <w:pPr>
        <w:numPr>
          <w:ilvl w:val="0"/>
          <w:numId w:val="1002"/>
        </w:numPr>
        <w:pStyle w:val="Compact"/>
      </w:pPr>
      <w:r>
        <w:t xml:space="preserve">New Zealand Government. (1991). *Resource Management Act 1991*. Wellington: Department of Justice.</w:t>
      </w:r>
    </w:p>
    <w:p>
      <w:pPr>
        <w:numPr>
          <w:ilvl w:val="0"/>
          <w:numId w:val="1002"/>
        </w:numPr>
        <w:pStyle w:val="Compact"/>
      </w:pPr>
      <w:r>
        <w:t xml:space="preserve">School of Architecture and Planning, University of Auckland. (2020). *Sustainable Design Guidelines for New Zealand Architects.</w:t>
      </w:r>
    </w:p>
    <w:p>
      <w:pPr>
        <w:numPr>
          <w:ilvl w:val="0"/>
          <w:numId w:val="1002"/>
        </w:numPr>
        <w:pStyle w:val="Compact"/>
      </w:pPr>
      <w:r>
        <w:t xml:space="preserve">Te Ara – The Encyclopedia of New Zealand. (n.d.). *Māori Architecture*. Retrieved from www.teara.govt.nz.</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Architect in New Zealand Auckland</dc:title>
  <dc:creator/>
  <dc:language>en</dc:language>
  <cp:keywords/>
  <dcterms:created xsi:type="dcterms:W3CDTF">2026-07-30T12:30:53Z</dcterms:created>
  <dcterms:modified xsi:type="dcterms:W3CDTF">2026-07-30T12:30:53Z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