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Regulatory</w:t>
      </w:r>
      <w:r>
        <w:t xml:space="preserve"> </w:t>
      </w:r>
      <w:r>
        <w:t xml:space="preserve">Framework,</w:t>
      </w:r>
      <w:r>
        <w:t xml:space="preserve"> </w:t>
      </w:r>
      <w:r>
        <w:t xml:space="preserve">and</w:t>
      </w:r>
      <w:r>
        <w:t xml:space="preserve"> </w:t>
      </w:r>
      <w:r>
        <w:t xml:space="preserve">Professional</w:t>
      </w:r>
      <w:r>
        <w:t xml:space="preserve"> </w:t>
      </w:r>
      <w:r>
        <w:t xml:space="preserve">Challenges</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359d8b5fdb35a71e4ee33b2b6f00866199b5b1a"/>
    <w:p>
      <w:pPr>
        <w:pStyle w:val="Heading1"/>
      </w:pPr>
      <w:r>
        <w:t xml:space="preserve">The Evolution, Regulatory Framework, and Professional Challenges of the Auditor in Malaysia Kuala Lumpur</w:t>
      </w:r>
    </w:p>
    <w:p>
      <w:pPr>
        <w:pStyle w:val="FirstParagraph"/>
      </w:pPr>
      <w:r>
        <w:rPr>
          <w:bCs/>
          <w:b/>
        </w:rPr>
        <w:t xml:space="preserve">Abstract</w:t>
      </w:r>
      <w:r>
        <w:br/>
      </w:r>
      <w:r>
        <w:t xml:space="preserve">This term paper examines the critical role of the auditor within the financial ecosystem of Malaysia Kuala Lumpur. As a global hub for trade and finance, Kuala Lumpur serves as the epicenter for corporate governance in Southeast Asia. The paper explores the statutory requirements governing auditors, specifically focusing on their interaction with regulatory bodies such as Suruhanjaya Syarikat Malaysia (SSM) and Malaysian Institute of Accountants (MIA). Furthermore, it analyzes the impact of international standards on local practice, the challenges posed by digitalization and cyber threats, and the ethical imperatives required to maintain public trust. The study concludes that while Malaysia Kuala Lumpur has established a robust framework for auditing professionals, continuous adaptation to global best practices is essential for sustained economic integrity.</w:t>
      </w:r>
    </w:p>
    <w:bookmarkStart w:id="20" w:name="introduction"/>
    <w:p>
      <w:pPr>
        <w:pStyle w:val="Heading2"/>
      </w:pPr>
      <w:r>
        <w:t xml:space="preserve">1. Introduction</w:t>
      </w:r>
    </w:p>
    <w:p>
      <w:pPr>
        <w:pStyle w:val="FirstParagraph"/>
      </w:pPr>
      <w:r>
        <w:t xml:space="preserve">In the contemporary business landscape, financial transparency and accountability are paramount. Within this context, the role of the auditor transcends mere compliance; it acts as a guardian of investor confidence and market stability. In Malaysia Kuala Lumpur, where multinational corporations converge with local enterprises, the significance of professional auditing cannot be overstated. This term paper aims to provide a comprehensive analysis of the auditor's function specifically within the jurisdictional and economic framework of Malaysia Kuala Lumpur.</w:t>
      </w:r>
    </w:p>
    <w:p>
      <w:pPr>
        <w:pStyle w:val="BodyText"/>
      </w:pPr>
      <w:r>
        <w:t xml:space="preserve">The capital city serves as a dynamic financial hub, hosting major stock exchanges on Bursa Malaysia and numerous regional headquarters for global firms. Consequently, the demand for high-quality audit services is immense. The term paper will dissect how auditors in this region navigate complex regulatory environments, adhere to ethical standards set by professional bodies, and adapt to technological disruptions.</w:t>
      </w:r>
    </w:p>
    <w:bookmarkEnd w:id="20"/>
    <w:bookmarkStart w:id="23" w:name="the-regulatory-landscape-for-auditors"/>
    <w:p>
      <w:pPr>
        <w:pStyle w:val="Heading2"/>
      </w:pPr>
      <w:r>
        <w:t xml:space="preserve">2. The Regulatory Landscape for Auditors</w:t>
      </w:r>
    </w:p>
    <w:p>
      <w:pPr>
        <w:pStyle w:val="FirstParagraph"/>
      </w:pPr>
      <w:r>
        <w:t xml:space="preserve">The practice of auditing in Malaysia Kuala Lumpur is strictly regulated to ensure uniformity and integrity. The primary statutory body overseeing corporate matters, including the appointment and regulation of external auditors, is Suruhanjaya Syarikat Malaysia (SSM). Under the Companies Act 2016, which replaced the previous 1965 Act, auditors in Malaysia Kuala Lumpur are granted specific rights and responsibilities to access company books and records.</w:t>
      </w:r>
    </w:p>
    <w:bookmarkStart w:id="21" w:name="the-role-of-mia"/>
    <w:p>
      <w:pPr>
        <w:pStyle w:val="Heading3"/>
      </w:pPr>
      <w:r>
        <w:t xml:space="preserve">2.1 The Role of MIA</w:t>
      </w:r>
    </w:p>
    <w:p>
      <w:pPr>
        <w:pStyle w:val="FirstParagraph"/>
      </w:pPr>
      <w:r>
        <w:t xml:space="preserve">Besides statutory law, the Malaysian Institute of Accountants (MIA) plays a pivotal role. For an individual to practice as an auditor in Malaysia Kuala Lumpur, they must hold a practicing certificate issued by MIA. This certification ensures that the auditor possesses the necessary technical competence and adheres to the Code of Professional Ethics and Conduct issued by MIA. The code emphasizes fundamental principles such as integrity, objectivity, professional competence and due care, confidentiality, and professional behavior.</w:t>
      </w:r>
    </w:p>
    <w:bookmarkEnd w:id="21"/>
    <w:bookmarkStart w:id="22" w:name="international-standards"/>
    <w:p>
      <w:pPr>
        <w:pStyle w:val="Heading3"/>
      </w:pPr>
      <w:r>
        <w:t xml:space="preserve">2.2 International Standards</w:t>
      </w:r>
    </w:p>
    <w:p>
      <w:pPr>
        <w:pStyle w:val="FirstParagraph"/>
      </w:pPr>
      <w:r>
        <w:t xml:space="preserve">To align with global best practices, auditors operating in Malaysia Kuala Lumpur are required to apply International Standards on Auditing (ISAs). These standards provide a framework for planning an audit of financial statements and obtaining sufficient appropriate evidence. The adoption of ISAs ensures that audit reports issued in Kuala Lumpur are comparable and credible to international stakeholders, thereby facilitating cross-border investment.</w:t>
      </w:r>
    </w:p>
    <w:bookmarkEnd w:id="22"/>
    <w:bookmarkEnd w:id="23"/>
    <w:bookmarkStart w:id="24" w:name="the-core-responsibilities-of-the-auditor"/>
    <w:p>
      <w:pPr>
        <w:pStyle w:val="Heading2"/>
      </w:pPr>
      <w:r>
        <w:t xml:space="preserve">3. The Core Responsibilities of the Auditor</w:t>
      </w:r>
    </w:p>
    <w:p>
      <w:pPr>
        <w:pStyle w:val="FirstParagraph"/>
      </w:pPr>
      <w:r>
        <w:t xml:space="preserve">The primary objective of the auditor in Malaysia Kuala Lumpur is to express an independent opinion on whether the financial statements give a true and fair view of the financial position and performance of the entity. This process involves several critical phases:</w:t>
      </w:r>
    </w:p>
    <w:p>
      <w:pPr>
        <w:numPr>
          <w:ilvl w:val="0"/>
          <w:numId w:val="1001"/>
        </w:numPr>
        <w:pStyle w:val="Compact"/>
      </w:pPr>
      <w:r>
        <w:rPr>
          <w:bCs/>
          <w:b/>
        </w:rPr>
        <w:t xml:space="preserve">Risk Assessment:</w:t>
      </w:r>
      <w:r>
        <w:t xml:space="preserve"> </w:t>
      </w:r>
      <w:r>
        <w:t xml:space="preserve">Auditors must identify and assess risks of material misstatement, whether due to fraud or error. In a bustling commercial center like Kuala Lumpur, where rapid business transactions occur, understanding the industry-specific risks is crucial.</w:t>
      </w:r>
    </w:p>
    <w:p>
      <w:pPr>
        <w:numPr>
          <w:ilvl w:val="0"/>
          <w:numId w:val="1001"/>
        </w:numPr>
        <w:pStyle w:val="Compact"/>
      </w:pPr>
      <w:r>
        <w:rPr>
          <w:bCs/>
          <w:b/>
        </w:rPr>
        <w:t xml:space="preserve">Evidence Gathering:</w:t>
      </w:r>
      <w:r>
        <w:t xml:space="preserve"> </w:t>
      </w:r>
      <w:r>
        <w:t xml:space="preserve">Through inspection, observation, inquiry, and confirmation procedures auditors gather evidence to support their opinion.</w:t>
      </w:r>
    </w:p>
    <w:p>
      <w:pPr>
        <w:numPr>
          <w:ilvl w:val="0"/>
          <w:numId w:val="1001"/>
        </w:numPr>
        <w:pStyle w:val="Compact"/>
      </w:pPr>
      <w:r>
        <w:rPr>
          <w:bCs/>
          <w:b/>
        </w:rPr>
        <w:t xml:space="preserve">Reporting:</w:t>
      </w:r>
      <w:r>
        <w:t xml:space="preserve"> </w:t>
      </w:r>
      <w:r>
        <w:t xml:space="preserve">The final output is an audit report that communicates the auditor’s findings. For listed companies on Bursa Malaysia, this often includes additional reporting requirements regarding internal controls and corporate governance practices.</w:t>
      </w:r>
    </w:p>
    <w:bookmarkEnd w:id="24"/>
    <w:bookmarkStart w:id="28" w:name="X5a7ff9a63ab1356769f2f3ec7039672cf9b8885"/>
    <w:p>
      <w:pPr>
        <w:pStyle w:val="Heading2"/>
      </w:pPr>
      <w:r>
        <w:t xml:space="preserve">4. Challenges Facing Auditors in Malaysia Kuala Lumpur</w:t>
      </w:r>
    </w:p>
    <w:p>
      <w:pPr>
        <w:pStyle w:val="FirstParagraph"/>
      </w:pPr>
      <w:r>
        <w:t xml:space="preserve">The landscape of auditing is not static; it faces numerous challenges that auditors in Malaysia Kuala Lumpur must navigate daily.</w:t>
      </w:r>
    </w:p>
    <w:bookmarkStart w:id="25" w:name="technology-and-digital-transformation"/>
    <w:p>
      <w:pPr>
        <w:pStyle w:val="Heading3"/>
      </w:pPr>
      <w:r>
        <w:t xml:space="preserve">4.1 Technology and Digital Transformation</w:t>
      </w:r>
    </w:p>
    <w:p>
      <w:pPr>
        <w:pStyle w:val="FirstParagraph"/>
      </w:pPr>
      <w:r>
        <w:t xml:space="preserve">The rise of Big Data, Artificial Intelligence (AI), and Robotic Process Automation (RPA) has transformed the audit profession. Auditors in Malaysia Kuala Lumpur are increasingly expected to utilize data analytics to enhance the quality of their assurance services. However, this transition requires significant upskilling and investment in technology infrastructure. Small and medium-sized firms may struggle to compete with large global networks that have greater resources for technological adoption.</w:t>
      </w:r>
    </w:p>
    <w:bookmarkEnd w:id="25"/>
    <w:bookmarkStart w:id="26" w:name="cybersecurity-risks"/>
    <w:p>
      <w:pPr>
        <w:pStyle w:val="Heading3"/>
      </w:pPr>
      <w:r>
        <w:t xml:space="preserve">4.2 Cybersecurity Risks</w:t>
      </w:r>
    </w:p>
    <w:p>
      <w:pPr>
        <w:pStyle w:val="FirstParagraph"/>
      </w:pPr>
      <w:r>
        <w:t xml:space="preserve">As companies digitize their records, the auditor’s focus has expanded from physical ledgers to digital databases. Auditors must now possess a basic understanding of cybersecurity controls to assess the risk of data breaches or manipulation. This adds a layer of complexity to traditional financial audits.</w:t>
      </w:r>
    </w:p>
    <w:bookmarkEnd w:id="26"/>
    <w:bookmarkStart w:id="27" w:name="ethical-pressures-and-independence"/>
    <w:p>
      <w:pPr>
        <w:pStyle w:val="Heading3"/>
      </w:pPr>
      <w:r>
        <w:t xml:space="preserve">4.3 Ethical Pressures and Independence</w:t>
      </w:r>
    </w:p>
    <w:p>
      <w:pPr>
        <w:pStyle w:val="FirstParagraph"/>
      </w:pPr>
      <w:r>
        <w:t xml:space="preserve">In the competitive market of Malaysia Kuala Lumpur, maintaining independence can be challenging. The pressure to retain clients may sometimes conflict with the auditor’s duty to report irregularities. Regulatory bodies have responded by implementing stricter rotation policies for audit partners and enhanced monitoring mechanisms, but vigilance remains a constant requirement.</w:t>
      </w:r>
    </w:p>
    <w:bookmarkEnd w:id="27"/>
    <w:bookmarkEnd w:id="28"/>
    <w:bookmarkStart w:id="29" w:name="corporate-governance-and-the-auditor"/>
    <w:p>
      <w:pPr>
        <w:pStyle w:val="Heading2"/>
      </w:pPr>
      <w:r>
        <w:t xml:space="preserve">5. Corporate Governance and the Auditor</w:t>
      </w:r>
    </w:p>
    <w:p>
      <w:pPr>
        <w:pStyle w:val="FirstParagraph"/>
      </w:pPr>
      <w:r>
        <w:t xml:space="preserve">Auditors in Malaysia Kuala Lumpur play a vital role in supporting corporate governance frameworks. The Malaysian Code on Corporate Governance (MCCG) encourages best practices that rely heavily on the effectiveness of external audits. By providing assurance on financial reporting, auditors help protect shareholders’ interests and enhance the overall credibility of the capital market.</w:t>
      </w:r>
    </w:p>
    <w:p>
      <w:pPr>
        <w:pStyle w:val="BodyText"/>
      </w:pPr>
      <w:r>
        <w:t xml:space="preserve">Furthermore, there is a growing expectation for "extended audit reports," where auditors provide insights beyond mere financial numbers, such as sustainability reporting and environmental governance. This shift reflects the global trend towards Environmental, Social, and Governance (ESG) criteria, positioning Kuala Lumpur as a forward-thinking hub for sustainable finance.</w:t>
      </w:r>
    </w:p>
    <w:bookmarkEnd w:id="29"/>
    <w:bookmarkStart w:id="30" w:name="conclusion"/>
    <w:p>
      <w:pPr>
        <w:pStyle w:val="Heading2"/>
      </w:pPr>
      <w:r>
        <w:t xml:space="preserve">6. Conclusion</w:t>
      </w:r>
    </w:p>
    <w:p>
      <w:pPr>
        <w:pStyle w:val="FirstParagraph"/>
      </w:pPr>
      <w:r>
        <w:t xml:space="preserve">In conclusion, the auditor is a cornerstone of financial integrity in Malaysia Kuala Lumpur. Through adherence to strict regulatory frameworks established by SSM and MIA, combined with international standards like ISAs, auditors ensure that financial reporting remains reliable and transparent. Despite challenges related to technology adoption, cybersecurity threats, and ethical pressures the profession continues to evolve.</w:t>
      </w:r>
    </w:p>
    <w:p>
      <w:pPr>
        <w:pStyle w:val="BodyText"/>
      </w:pPr>
      <w:r>
        <w:t xml:space="preserve">For Malaysia Kuala Lumpur to maintain its status as a leading financial center in Asia, it is imperative that the auditor profession remains robust, independent, and technologically adept. Future developments will likely see auditors taking on broader advisory roles regarding risk management and sustainability. Ultimately, the commitment of professionals in this field to ethical excellence and technical proficiency safeguards the interests of investors and stakeholders alike.</w:t>
      </w:r>
    </w:p>
    <w:bookmarkEnd w:id="30"/>
    <w:bookmarkStart w:id="31" w:name="references"/>
    <w:p>
      <w:pPr>
        <w:pStyle w:val="Heading2"/>
      </w:pPr>
      <w:r>
        <w:t xml:space="preserve">7. References</w:t>
      </w:r>
    </w:p>
    <w:p>
      <w:pPr>
        <w:numPr>
          <w:ilvl w:val="0"/>
          <w:numId w:val="1002"/>
        </w:numPr>
        <w:pStyle w:val="Compact"/>
      </w:pPr>
      <w:r>
        <w:t xml:space="preserve">Suruhanjaya Syarikat Malaysia (SSM). (2016).</w:t>
      </w:r>
      <w:r>
        <w:t xml:space="preserve"> </w:t>
      </w:r>
      <w:r>
        <w:rPr>
          <w:iCs/>
          <w:i/>
        </w:rPr>
        <w:t xml:space="preserve">The Companies Act 2016</w:t>
      </w:r>
      <w:r>
        <w:t xml:space="preserve">. Kuala Lumpur: SSM.</w:t>
      </w:r>
    </w:p>
    <w:p>
      <w:pPr>
        <w:numPr>
          <w:ilvl w:val="0"/>
          <w:numId w:val="1002"/>
        </w:numPr>
        <w:pStyle w:val="Compact"/>
      </w:pPr>
      <w:r>
        <w:t xml:space="preserve">Malaysian Institute of Accountants (MIA). (2023).</w:t>
      </w:r>
      <w:r>
        <w:t xml:space="preserve"> </w:t>
      </w:r>
      <w:r>
        <w:rPr>
          <w:iCs/>
          <w:i/>
        </w:rPr>
        <w:t xml:space="preserve">MIA By-Laws and Code of Professional Ethics and Conduct</w:t>
      </w:r>
      <w:r>
        <w:t xml:space="preserve">. Kuala Lumpur: MIA.</w:t>
      </w:r>
    </w:p>
    <w:p>
      <w:pPr>
        <w:numPr>
          <w:ilvl w:val="0"/>
          <w:numId w:val="1002"/>
        </w:numPr>
        <w:pStyle w:val="Compact"/>
      </w:pPr>
      <w:r>
        <w:t xml:space="preserve">Institute of Internal Auditors Malaysia. (2021).</w:t>
      </w:r>
      <w:r>
        <w:t xml:space="preserve"> </w:t>
      </w:r>
      <w:r>
        <w:rPr>
          <w:iCs/>
          <w:i/>
        </w:rPr>
        <w:t xml:space="preserve">Audit Committee Guidelines for Listed Companies</w:t>
      </w:r>
      <w:r>
        <w:t xml:space="preserve">. Kuala Lumpur: IIA.</w:t>
      </w:r>
    </w:p>
    <w:p>
      <w:pPr>
        <w:numPr>
          <w:ilvl w:val="0"/>
          <w:numId w:val="1002"/>
        </w:numPr>
        <w:pStyle w:val="Compact"/>
      </w:pPr>
      <w:r>
        <w:t xml:space="preserve">Bursa Malaysia Holdings Berhad. (2023).</w:t>
      </w:r>
      <w:r>
        <w:t xml:space="preserve"> </w:t>
      </w:r>
      <w:r>
        <w:rPr>
          <w:iCs/>
          <w:i/>
        </w:rPr>
        <w:t xml:space="preserve">Main Market Listing Requirements</w:t>
      </w:r>
      <w:r>
        <w:t xml:space="preserve">. Kuala Lumpur: Bursa Malaysia.</w:t>
      </w:r>
    </w:p>
    <w:p>
      <w:pPr>
        <w:numPr>
          <w:ilvl w:val="0"/>
          <w:numId w:val="1002"/>
        </w:numPr>
        <w:pStyle w:val="Compact"/>
      </w:pPr>
      <w:r>
        <w:t xml:space="preserve">International Federation of Accountants (IFAC). (2019).</w:t>
      </w:r>
      <w:r>
        <w:t xml:space="preserve"> </w:t>
      </w:r>
      <w:r>
        <w:rPr>
          <w:iCs/>
          <w:i/>
        </w:rPr>
        <w:t xml:space="preserve">Handbook of International Quality Control, Auditing, Review, Other Assurance, and Related Services Pronouncements</w:t>
      </w:r>
      <w:r>
        <w:t xml:space="preserve">. New York: IFAC.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Regulatory Framework, and Professional Challenges of the Auditor in Malaysia Kuala Lumpur</dc:title>
  <dc:creator/>
  <cp:keywords/>
  <dcterms:created xsi:type="dcterms:W3CDTF">2026-07-29T15:02:20Z</dcterms:created>
  <dcterms:modified xsi:type="dcterms:W3CDTF">2026-07-29T15:02:20Z</dcterms:modified>
</cp:coreProperties>
</file>

<file path=docProps/custom.xml><?xml version="1.0" encoding="utf-8"?>
<Properties xmlns="http://schemas.openxmlformats.org/officeDocument/2006/custom-properties" xmlns:vt="http://schemas.openxmlformats.org/officeDocument/2006/docPropsVTypes"/>
</file>