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bookmarkStart w:id="20" w:name="X7a5b5a67e733a76914464a0c07d97a54927ffab"/>
    <w:p>
      <w:pPr>
        <w:pStyle w:val="Heading1"/>
      </w:pPr>
      <w:r>
        <w:t xml:space="preserve">The Role and Evolution of the Auditor in Netherlands Amsterdam</w:t>
      </w:r>
    </w:p>
    <w:p>
      <w:pPr>
        <w:pStyle w:val="FirstParagraph"/>
      </w:pPr>
      <w:r>
        <w:t xml:space="preserve">A Term Paper Examining Regulatory Frameworks, Professional Ethics, and Market Dynamics within the Dutch Financial Sector.</w:t>
      </w:r>
    </w:p>
    <w:p>
      <w:pPr>
        <w:pStyle w:val="BodyText"/>
      </w:pPr>
      <w:r>
        <w:rPr>
          <w:bCs/>
          <w:b/>
        </w:rPr>
        <w:t xml:space="preserve">Date:</w:t>
      </w:r>
      <w:r>
        <w:t xml:space="preserve"> </w:t>
      </w:r>
      <w:r>
        <w:t xml:space="preserve">May 24, 2024</w:t>
      </w:r>
      <w:r>
        <w:br/>
      </w:r>
      <w:r>
        <w:rPr>
          <w:bCs/>
          <w:b/>
        </w:rPr>
        <w:t xml:space="preserve">Distribution:</w:t>
      </w:r>
      <w:r>
        <w:t xml:space="preserve"> </w:t>
      </w:r>
      <w:r>
        <w:t xml:space="preserve">Academic Review</w:t>
      </w:r>
    </w:p>
    <w:bookmarkEnd w:id="20"/>
    <w:bookmarkStart w:id="21" w:name="i.-introduction"/>
    <w:p>
      <w:pPr>
        <w:pStyle w:val="Heading1"/>
      </w:pPr>
      <w:r>
        <w:t xml:space="preserve">I. Introduction</w:t>
      </w:r>
    </w:p>
    <w:p>
      <w:pPr>
        <w:pStyle w:val="FirstParagraph"/>
      </w:pPr>
      <w:r>
        <w:t xml:space="preserve">In the intricate ecosystem of global finance, the integrity of financial reporting stands as a cornerstone for market confidence. Nowhere is this more critical than in Europe’s second most populous country and its primary economic hub, where the city of Netherlands Amsterdam serves as a bustling nexus for international trade, banking, and corporate governance. This</w:t>
      </w:r>
      <w:r>
        <w:t xml:space="preserve"> </w:t>
      </w:r>
      <w:r>
        <w:rPr>
          <w:bCs/>
          <w:b/>
        </w:rPr>
        <w:t xml:space="preserve">Term Paper</w:t>
      </w:r>
      <w:r>
        <w:t xml:space="preserve"> </w:t>
      </w:r>
      <w:r>
        <w:t xml:space="preserve">seeks to explore the multifaceted role of the</w:t>
      </w:r>
      <w:r>
        <w:t xml:space="preserve"> </w:t>
      </w:r>
      <w:r>
        <w:rPr>
          <w:bCs/>
          <w:b/>
        </w:rPr>
        <w:t xml:space="preserve">Auditor</w:t>
      </w:r>
      <w:r>
        <w:t xml:space="preserve"> </w:t>
      </w:r>
      <w:r>
        <w:t xml:space="preserve">within this specific geographical and regulatory context. While auditing is a universal practice governed by International Standards on Auditing (ISA), its application in Netherlands Amsterdam is distinctively shaped by local legislation, cultural nuances, and the stringent oversight of Dutch authorities.</w:t>
      </w:r>
    </w:p>
    <w:p>
      <w:pPr>
        <w:pStyle w:val="BodyText"/>
      </w:pPr>
      <w:r>
        <w:t xml:space="preserve">The purpose of this document is to analyze the responsibilities, legal obligations, and evolving challenges facing auditors operating in Netherlands Amsterdam. By examining the intersection of Dutch corporate law and international audit standards, we can better understand how these professionals maintain transparency in one of Europe’s most dynamic financial centers. The thesis argues that while the core function of an auditor remains consistent globally—providing independent assurance on financial statements—the specific operational environment of Netherlands Amsterdam demands a heightened awareness of local regulatory pressures and ethical considerations.</w:t>
      </w:r>
    </w:p>
    <w:bookmarkEnd w:id="21"/>
    <w:bookmarkStart w:id="22" w:name="X8f78efcaa13a1b48ab22bd69964eb2e819efb6a"/>
    <w:p>
      <w:pPr>
        <w:pStyle w:val="Heading1"/>
      </w:pPr>
      <w:r>
        <w:t xml:space="preserve">II. The Regulatory Framework in Netherlands Amsterdam</w:t>
      </w:r>
    </w:p>
    <w:p>
      <w:pPr>
        <w:pStyle w:val="FirstParagraph"/>
      </w:pPr>
      <w:r>
        <w:t xml:space="preserve">To understand the practice of auditing in this region, one must first appreciate the legal landscape. In the context of a Term Paper focusing on this specific locale, it is imperative to note that an auditor working in Netherlands Amsterdam is not merely adhering to international best practices but is bound by Dutch civil law and specific statutory requirements. The primary regulatory body overseeing audit activities in the Netherlands is De Nederlandsche Bank (DNB) and the Autoriteit Financiële Markten (AFM), with AFM playing a particularly prominent role in supervising audit firms.</w:t>
      </w:r>
    </w:p>
    <w:p>
      <w:pPr>
        <w:pStyle w:val="BodyText"/>
      </w:pPr>
      <w:r>
        <w:t xml:space="preserve">The Wet toezicht accountantsorganisaties (Wta), or Act on Supervision of Accounting Organizations, serves as the cornerstone of this regulatory framework. This legislation implements EU directives into Dutch law, ensuring that audit firms maintain rigorous quality control systems. For an auditor based in Netherlands Amsterdam, compliance with the Wta is not optional; it is a fundamental prerequisite for licensure. Furthermore, auditors must comply with the Besluit kwaliteitssystemen accountantsorganisaties (Bka), which details the specific requirements for quality management systems. These regulations ensure that every audit performed within the bustling business district of Netherlands Amsterdam meets high standards of independence, objectivity, and professional skepticism.</w:t>
      </w:r>
    </w:p>
    <w:bookmarkEnd w:id="22"/>
    <w:bookmarkStart w:id="23" w:name="X158757222b3cd5fe400135d4571c03aaa10ea97"/>
    <w:p>
      <w:pPr>
        <w:pStyle w:val="Heading1"/>
      </w:pPr>
      <w:r>
        <w:t xml:space="preserve">III. The Core Functions and Ethical Obligations</w:t>
      </w:r>
    </w:p>
    <w:p>
      <w:pPr>
        <w:pStyle w:val="FirstParagraph"/>
      </w:pPr>
      <w:r>
        <w:t xml:space="preserve">The primary function of an</w:t>
      </w:r>
      <w:r>
        <w:t xml:space="preserve"> </w:t>
      </w:r>
      <w:r>
        <w:rPr>
          <w:bCs/>
          <w:b/>
        </w:rPr>
        <w:t xml:space="preserve">Auditor</w:t>
      </w:r>
      <w:r>
        <w:t xml:space="preserve"> </w:t>
      </w:r>
      <w:r>
        <w:t xml:space="preserve">is to express an opinion on whether the financial statements give a true and fair view of the company’s financial position. In Netherlands Amsterdam, where multinational corporations, startups, and historical enterprises coexist, this task requires adaptability. The auditor must evaluate internal controls, assess risks of material misstatement due to fraud or error, and review accounting estimates made by management.</w:t>
      </w:r>
    </w:p>
    <w:p>
      <w:pPr>
        <w:pStyle w:val="BodyText"/>
      </w:pPr>
      <w:r>
        <w:t xml:space="preserve">However, the technical execution of these duties is secondary to the ethical obligation of independence. The concept of professional skepticism is paramount. Auditors in Netherlands Amsterdam often navigate complex corporate structures that may attempt to obscure financial realities through aggressive accounting techniques. Consequently, the auditor must act as a gatekeeper, ensuring that stakeholders—including investors, creditors, and the public—can rely on the reported data. This role is particularly sensitive in a city like Netherlands Amsterdam, which hosts significant international investment flows; any breach of trust in financial reporting can have cascading effects on global markets.</w:t>
      </w:r>
    </w:p>
    <w:bookmarkEnd w:id="23"/>
    <w:bookmarkStart w:id="24" w:name="iv.-challenges-and-evolving-dynamics"/>
    <w:p>
      <w:pPr>
        <w:pStyle w:val="Heading1"/>
      </w:pPr>
      <w:r>
        <w:t xml:space="preserve">IV. Challenges and Evolving Dynamics</w:t>
      </w:r>
    </w:p>
    <w:p>
      <w:pPr>
        <w:pStyle w:val="FirstParagraph"/>
      </w:pPr>
      <w:r>
        <w:t xml:space="preserve">The landscape for auditors is not static. Several contemporary challenges threaten the traditional model of auditing in Netherlands Amsterdam. First, the digital transformation of business processes has altered the nature of audit evidence. Auditors must now possess technological proficiency to audit cloud-based accounting systems, blockchain transactions, and algorithmic trading records. This shift requires continuous professional development and a move away from manual sampling toward data analytics-driven approaches.</w:t>
      </w:r>
    </w:p>
    <w:p>
      <w:pPr>
        <w:pStyle w:val="BodyText"/>
      </w:pPr>
      <w:r>
        <w:t xml:space="preserve">Secondly, the increasing complexity of international tax laws poses a significant hurdle for auditors operating in Netherlands Amsterdam. As corporate entities strive to optimize their tax liabilities across borders, auditors must ensure that these strategies comply with both Dutch law and evolving OECD guidelines. This adds a layer of complexity to the audit opinion, requiring auditors to stay abreast of legislative changes that frequently impact corporate reporting.</w:t>
      </w:r>
    </w:p>
    <w:p>
      <w:pPr>
        <w:pStyle w:val="BodyText"/>
      </w:pPr>
      <w:r>
        <w:t xml:space="preserve">Furthermore, sustainability reporting is emerging as a new frontier for the auditor. With the European Union’s Corporate Sustainability Reporting Directive (CSRD), auditors in Netherlands Amsterdam will soon face expanded responsibilities regarding non-financial information. This evolution means that the modern auditor must be versatile, capable of assessing both financial and environmental data with equal rigor.</w:t>
      </w:r>
    </w:p>
    <w:bookmarkEnd w:id="24"/>
    <w:bookmarkStart w:id="25" w:name="v.-conclusion"/>
    <w:p>
      <w:pPr>
        <w:pStyle w:val="Heading1"/>
      </w:pPr>
      <w:r>
        <w:t xml:space="preserve">V. Conclusion</w:t>
      </w:r>
    </w:p>
    <w:p>
      <w:pPr>
        <w:pStyle w:val="FirstParagraph"/>
      </w:pPr>
      <w:r>
        <w:t xml:space="preserve">In conclusion, the role of the Auditor in Netherlands Amsterdam is a critical component of economic stability and corporate transparency. This Term Paper has highlighted that while auditing standards are globally harmonized, their application in Netherlands Amsterdam is deeply influenced by local regulatory frameworks such as the Wta and Bka. The auditor must navigate these legal waters with precision, maintaining strict independence and professional skepticism.</w:t>
      </w:r>
    </w:p>
    <w:p>
      <w:pPr>
        <w:pStyle w:val="BodyText"/>
      </w:pPr>
      <w:r>
        <w:t xml:space="preserve">As the financial environment continues to evolve with digitalization and sustainability mandates, auditors in this vibrant Dutch city must adapt their skill sets accordingly. The future of auditing in Netherlands Amsterdam lies not only in historical verification but also in providing forward-looking insights that enhance corporate governance. By adhering to rigorous ethical standards and embracing technological innovation, auditors will continue to serve as indispensable guardians of financial integrity in one of Europe’s most important economic centers.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Netherlands Amsterdam</dc:title>
  <dc:creator/>
  <dc:language>en</dc:language>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