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Istanbul</w:t>
      </w:r>
    </w:p>
    <w:bookmarkStart w:id="30" w:name="Xf3f9ba7c13bad24e88b9fab4242617fa36b85cb"/>
    <w:p>
      <w:pPr>
        <w:pStyle w:val="Heading1"/>
      </w:pPr>
      <w:r>
        <w:t xml:space="preserve">The Role, Responsibility, and Regulatory Framework of the Auditor in Turkey Istanbul</w:t>
      </w:r>
    </w:p>
    <w:p>
      <w:pPr>
        <w:pStyle w:val="FirstParagraph"/>
      </w:pPr>
      <w:r>
        <w:rPr>
          <w:bCs/>
          <w:b/>
        </w:rPr>
        <w:t xml:space="preserve">Date:</w:t>
      </w:r>
      <w:r>
        <w:t xml:space="preserve"> </w:t>
      </w:r>
      <w:r>
        <w:t xml:space="preserve">October 26, 2023</w:t>
      </w:r>
      <w:r>
        <w:br/>
      </w:r>
      <w:r>
        <w:t xml:space="preserve">[Student Name]</w:t>
      </w:r>
      <w:r>
        <w:br/>
      </w:r>
    </w:p>
    <w:bookmarkStart w:id="20" w:name="abstract"/>
    <w:p>
      <w:pPr>
        <w:pStyle w:val="Heading2"/>
      </w:pPr>
      <w:r>
        <w:t xml:space="preserve">Abstract</w:t>
      </w:r>
    </w:p>
    <w:p>
      <w:pPr>
        <w:pStyle w:val="FirstParagraph"/>
      </w:pPr>
      <w:r>
        <w:t xml:space="preserve">This term paper examines the critical function of the</w:t>
      </w:r>
      <w:r>
        <w:t xml:space="preserve"> </w:t>
      </w:r>
      <w:r>
        <w:rPr>
          <w:iCs/>
          <w:i/>
        </w:rPr>
        <w:t xml:space="preserve">Auditor</w:t>
      </w:r>
      <w:r>
        <w:t xml:space="preserve"> </w:t>
      </w:r>
      <w:r>
        <w:t xml:space="preserve">within the corporate governance structure of</w:t>
      </w:r>
      <w:r>
        <w:t xml:space="preserve"> </w:t>
      </w:r>
      <w:r>
        <w:rPr>
          <w:iCs/>
          <w:i/>
        </w:rPr>
        <w:t xml:space="preserve">Turkey Istanbul</w:t>
      </w:r>
      <w:r>
        <w:t xml:space="preserve">. As Istanbul serves as the economic heartbeat of Turkey, bridging Europe and Asia, its financial ecosystem is characterized by rapid growth, complex cross-border transactions, and stringent regulatory oversight. This document explores the legal obligations imposed on auditors by Turkish Commercial Law (TCL) No. 6102, the role of Public Oversight Authority (PKK), and the adoption of International Standards on Auditing (ISA). Furthermore, it analyzes how an auditor in</w:t>
      </w:r>
      <w:r>
        <w:t xml:space="preserve"> </w:t>
      </w:r>
      <w:r>
        <w:rPr>
          <w:iCs/>
          <w:i/>
        </w:rPr>
        <w:t xml:space="preserve">Turkey Istanbul</w:t>
      </w:r>
      <w:r>
        <w:t xml:space="preserve"> </w:t>
      </w:r>
      <w:r>
        <w:t xml:space="preserve">navigates inflation accounting issues and cultural business practices to ensure transparency and investor confidence.</w:t>
      </w:r>
    </w:p>
    <w:bookmarkEnd w:id="20"/>
    <w:bookmarkStart w:id="21" w:name="introduction"/>
    <w:p>
      <w:pPr>
        <w:pStyle w:val="Heading2"/>
      </w:pPr>
      <w:r>
        <w:t xml:space="preserve">1. Introduction</w:t>
      </w:r>
    </w:p>
    <w:p>
      <w:pPr>
        <w:pStyle w:val="FirstParagraph"/>
      </w:pPr>
      <w:r>
        <w:t xml:space="preserve">In the modern globalized economy, the integrity of financial reporting is paramount for market stability. The</w:t>
      </w:r>
      <w:r>
        <w:t xml:space="preserve"> </w:t>
      </w:r>
      <w:r>
        <w:rPr>
          <w:bCs/>
          <w:b/>
        </w:rPr>
        <w:t xml:space="preserve">Auditor</w:t>
      </w:r>
      <w:r>
        <w:t xml:space="preserve">, as an independent third party, plays a pivotal role in verifying the accuracy of financial statements and ensuring compliance with statutory requirements. In</w:t>
      </w:r>
      <w:r>
        <w:t xml:space="preserve"> </w:t>
      </w:r>
      <w:r>
        <w:rPr>
          <w:bCs/>
          <w:b/>
        </w:rPr>
        <w:t xml:space="preserve">Turkey Istanbul</w:t>
      </w:r>
      <w:r>
        <w:t xml:space="preserve">, this role has gained heightened significance due to the city’s status as a major financial hub. With thousands of multinational corporations, local conglomerates, and small-to-medium enterprises (SMEs) headquartered or operating within the metropolitan area of</w:t>
      </w:r>
      <w:r>
        <w:t xml:space="preserve"> </w:t>
      </w:r>
      <w:r>
        <w:rPr>
          <w:bCs/>
          <w:b/>
        </w:rPr>
        <w:t xml:space="preserve">Turkey Istanbul</w:t>
      </w:r>
      <w:r>
        <w:t xml:space="preserve">, the demand for rigorous auditing services is substantial.</w:t>
      </w:r>
    </w:p>
    <w:p>
      <w:pPr>
        <w:pStyle w:val="BodyText"/>
      </w:pPr>
      <w:r>
        <w:t xml:space="preserve">This term paper argues that the effectiveness of an</w:t>
      </w:r>
      <w:r>
        <w:t xml:space="preserve"> </w:t>
      </w:r>
      <w:r>
        <w:rPr>
          <w:bCs/>
          <w:b/>
        </w:rPr>
        <w:t xml:space="preserve">Auditor</w:t>
      </w:r>
      <w:r>
        <w:t xml:space="preserve"> </w:t>
      </w:r>
      <w:r>
        <w:t xml:space="preserve">in</w:t>
      </w:r>
      <w:r>
        <w:t xml:space="preserve"> </w:t>
      </w:r>
      <w:r>
        <w:rPr>
          <w:bCs/>
          <w:b/>
        </w:rPr>
        <w:t xml:space="preserve">Turkey Istanbul</w:t>
      </w:r>
      <w:r>
        <w:t xml:space="preserve"> </w:t>
      </w:r>
      <w:r>
        <w:t xml:space="preserve">is not merely a matter of technical compliance but also involves navigating unique economic challenges, such as high inflation and currency volatility, while adhering to international best practices. The following sections detail the legal framework, professional standards, and specific contextual challenges facing auditors in this dynamic region.</w:t>
      </w:r>
    </w:p>
    <w:bookmarkEnd w:id="21"/>
    <w:bookmarkStart w:id="24" w:name="legal-and-regulatory-framework"/>
    <w:p>
      <w:pPr>
        <w:pStyle w:val="Heading2"/>
      </w:pPr>
      <w:r>
        <w:t xml:space="preserve">2. Legal and Regulatory Framework</w:t>
      </w:r>
    </w:p>
    <w:bookmarkStart w:id="22" w:name="turkish-commercial-law-tcl-no.-6102"/>
    <w:p>
      <w:pPr>
        <w:pStyle w:val="Heading3"/>
      </w:pPr>
      <w:r>
        <w:t xml:space="preserve">2.1 Turkish Commercial Law (TCL) No. 6102</w:t>
      </w:r>
    </w:p>
    <w:p>
      <w:pPr>
        <w:pStyle w:val="FirstParagraph"/>
      </w:pPr>
      <w:r>
        <w:t xml:space="preserve">The primary legislative instrument governing the role of the</w:t>
      </w:r>
      <w:r>
        <w:t xml:space="preserve"> </w:t>
      </w:r>
      <w:r>
        <w:rPr>
          <w:bCs/>
          <w:b/>
        </w:rPr>
        <w:t xml:space="preserve">Auditor</w:t>
      </w:r>
      <w:r>
        <w:t xml:space="preserve"> </w:t>
      </w:r>
      <w:r>
        <w:t xml:space="preserve">in Turkey is the Turkish Commercial Law No. 6102, enacted in 2011 and revised subsequently to align with European Union directives. Under this law, all joint-stock companies (Anonim Şirketi or AŞ) and limited liability companies (Limited Şirketi or Ltd. Şti.) exceeding certain size thresholds are mandatory required to appoint an external auditor.</w:t>
      </w:r>
    </w:p>
    <w:p>
      <w:pPr>
        <w:pStyle w:val="BodyText"/>
      </w:pPr>
      <w:r>
        <w:t xml:space="preserve">In</w:t>
      </w:r>
      <w:r>
        <w:t xml:space="preserve"> </w:t>
      </w:r>
      <w:r>
        <w:rPr>
          <w:bCs/>
          <w:b/>
        </w:rPr>
        <w:t xml:space="preserve">Turkey Istanbul</w:t>
      </w:r>
      <w:r>
        <w:t xml:space="preserve">, where many large-scale industrial and service enterprises are registered, the appointment of a certified auditor is not optional for qualifying entities. The law stipulates that auditors must be licensed by the Public Oversight Authority (PKK), also known as PCAOB in local translation contexts, which ensures that only qualified professionals with specific experience can perform statutory audits.</w:t>
      </w:r>
    </w:p>
    <w:bookmarkEnd w:id="22"/>
    <w:bookmarkStart w:id="23" w:name="Xa235b8eb1762c82762b97f7de5d560a5ee325ef"/>
    <w:p>
      <w:pPr>
        <w:pStyle w:val="Heading3"/>
      </w:pPr>
      <w:r>
        <w:t xml:space="preserve">2.2 The Role of the Public Oversight Authority (PKK)</w:t>
      </w:r>
    </w:p>
    <w:p>
      <w:pPr>
        <w:pStyle w:val="FirstParagraph"/>
      </w:pPr>
      <w:r>
        <w:t xml:space="preserve">The PKK acts as the supervisory body for auditing firms and individual auditors in Turkey. For an</w:t>
      </w:r>
      <w:r>
        <w:t xml:space="preserve"> </w:t>
      </w:r>
      <w:r>
        <w:rPr>
          <w:bCs/>
          <w:b/>
        </w:rPr>
        <w:t xml:space="preserve">Auditor</w:t>
      </w:r>
      <w:r>
        <w:t xml:space="preserve"> </w:t>
      </w:r>
      <w:r>
        <w:t xml:space="preserve">practicing in</w:t>
      </w:r>
      <w:r>
        <w:t xml:space="preserve"> </w:t>
      </w:r>
      <w:r>
        <w:rPr>
          <w:bCs/>
          <w:b/>
        </w:rPr>
        <w:t xml:space="preserve">Turkey Istanbul</w:t>
      </w:r>
      <w:r>
        <w:t xml:space="preserve">, adherence to PKK regulations is critical. The authority conducts regular inspections of audit firms to assess compliance with professional standards, independence requirements, and quality control procedures. This regulatory oversight is particularly intense for big-four accounting firms operating in the business districts of Levent and Maslak in</w:t>
      </w:r>
      <w:r>
        <w:t xml:space="preserve"> </w:t>
      </w:r>
      <w:r>
        <w:rPr>
          <w:bCs/>
          <w:b/>
        </w:rPr>
        <w:t xml:space="preserve">Turkey Istanbul</w:t>
      </w:r>
      <w:r>
        <w:t xml:space="preserve">, as they audit major listed companies on the Borsa Istanbul.</w:t>
      </w:r>
    </w:p>
    <w:bookmarkEnd w:id="23"/>
    <w:bookmarkEnd w:id="24"/>
    <w:bookmarkStart w:id="25" w:name="professional-standards-isa-adoption"/>
    <w:p>
      <w:pPr>
        <w:pStyle w:val="Heading2"/>
      </w:pPr>
      <w:r>
        <w:t xml:space="preserve">3. Professional Standards: ISA Adoption</w:t>
      </w:r>
    </w:p>
    <w:p>
      <w:pPr>
        <w:pStyle w:val="FirstParagraph"/>
      </w:pPr>
      <w:r>
        <w:t xml:space="preserve">To enhance transparency and attract foreign investment, Turkey has moved towards harmonizing its accounting practices with International Financial Reporting Standards (IFRS) and International Standards on Auditing (ISA). Consequently, an</w:t>
      </w:r>
      <w:r>
        <w:t xml:space="preserve"> </w:t>
      </w:r>
      <w:r>
        <w:rPr>
          <w:bCs/>
          <w:b/>
        </w:rPr>
        <w:t xml:space="preserve">Auditor</w:t>
      </w:r>
      <w:r>
        <w:t xml:space="preserve"> </w:t>
      </w:r>
      <w:r>
        <w:t xml:space="preserve">in</w:t>
      </w:r>
      <w:r>
        <w:t xml:space="preserve"> </w:t>
      </w:r>
      <w:r>
        <w:rPr>
          <w:bCs/>
          <w:b/>
        </w:rPr>
        <w:t xml:space="preserve">Turkey Istanbul</w:t>
      </w:r>
      <w:r>
        <w:t xml:space="preserve"> </w:t>
      </w:r>
      <w:r>
        <w:t xml:space="preserve">is expected to conduct audits in accordance with these international standards.</w:t>
      </w:r>
    </w:p>
    <w:p>
      <w:pPr>
        <w:pStyle w:val="BodyText"/>
      </w:pPr>
      <w:r>
        <w:t xml:space="preserve">This alignment ensures that audit reports issued by professionals in Istanbul are comparable and credible to international stakeholders. However, the application of ISA requires professional judgment. For instance, when assessing the going concern assumption for companies facing economic uncertainty, an auditor must consider local market conditions specific to</w:t>
      </w:r>
      <w:r>
        <w:t xml:space="preserve"> </w:t>
      </w:r>
      <w:r>
        <w:rPr>
          <w:bCs/>
          <w:b/>
        </w:rPr>
        <w:t xml:space="preserve">Turkey Istanbul</w:t>
      </w:r>
      <w:r>
        <w:t xml:space="preserve">, including supply chain disruptions and energy costs.</w:t>
      </w:r>
    </w:p>
    <w:bookmarkEnd w:id="25"/>
    <w:bookmarkStart w:id="26" w:name="Xc7d896663519b4c67e923eb325015519168b93f"/>
    <w:p>
      <w:pPr>
        <w:pStyle w:val="Heading2"/>
      </w:pPr>
      <w:r>
        <w:t xml:space="preserve">4. Economic Challenges and Inflation Accounting</w:t>
      </w:r>
    </w:p>
    <w:p>
      <w:pPr>
        <w:pStyle w:val="FirstParagraph"/>
      </w:pPr>
      <w:r>
        <w:t xml:space="preserve">A unique aspect of auditing in</w:t>
      </w:r>
    </w:p>
    <w:p>
      <w:pPr>
        <w:pStyle w:val="BodyText"/>
      </w:pPr>
      <w:r>
        <w:t xml:space="preserve">Turkey Istanbul/strong is the macroeconomic environment. Turkey has experienced periods of high inflation, which significantly impacts financial reporting. In response to this volatility, the Turkish Ministry of Treasury and Finance introduced amendments requiring companies to prepare financial statements under inflation accounting principles (TFRS 15/IAS 29 adaptation).</w:t>
      </w:r>
    </w:p>
    <w:p>
      <w:pPr>
        <w:pStyle w:val="BodyText"/>
      </w:pPr>
      <w:r>
        <w:t xml:space="preserve">This presents a complex task for the</w:t>
      </w:r>
      <w:r>
        <w:t xml:space="preserve"> </w:t>
      </w:r>
      <w:r>
        <w:rPr>
          <w:bCs/>
          <w:b/>
        </w:rPr>
        <w:t xml:space="preserve">Auditor</w:t>
      </w:r>
      <w:r>
        <w:t xml:space="preserve">. Unlike in stable economies, auditors in</w:t>
      </w:r>
      <w:r>
        <w:t xml:space="preserve"> </w:t>
      </w:r>
      <w:r>
        <w:rPr>
          <w:bCs/>
          <w:b/>
        </w:rPr>
        <w:t xml:space="preserve">Turkey Istanbul</w:t>
      </w:r>
      <w:r>
        <w:t xml:space="preserve"> </w:t>
      </w:r>
      <w:r>
        <w:t xml:space="preserve">must verify not only the existence and valuation of assets but also the mathematical accuracy of inflation adjustments. This requires a deep understanding of local price indices and their application to monetary and non-monetary items. Failure to correctly apply these adjustments can lead to material misstatements, exposing the auditor to significant legal liability.</w:t>
      </w:r>
    </w:p>
    <w:bookmarkEnd w:id="26"/>
    <w:bookmarkStart w:id="27" w:name="X95e809df046a899fa8a34318db0d2d39b4de60d"/>
    <w:p>
      <w:pPr>
        <w:pStyle w:val="Heading2"/>
      </w:pPr>
      <w:r>
        <w:t xml:space="preserve">5. Corporate Governance and Internal Controls</w:t>
      </w:r>
    </w:p>
    <w:p>
      <w:pPr>
        <w:pStyle w:val="FirstParagraph"/>
      </w:pPr>
      <w:r>
        <w:t xml:space="preserve">Beyond statutory financial statements, auditors in</w:t>
      </w:r>
      <w:r>
        <w:t xml:space="preserve"> </w:t>
      </w:r>
      <w:r>
        <w:rPr>
          <w:bCs/>
          <w:b/>
        </w:rPr>
        <w:t xml:space="preserve">Turkey Istanbul</w:t>
      </w:r>
    </w:p>
    <w:p>
      <w:pPr>
        <w:pStyle w:val="BodyText"/>
      </w:pPr>
      <w:r>
        <w:t xml:space="preserve">In many family-owned conglomerates prevalent in</w:t>
      </w:r>
      <w:r>
        <w:t xml:space="preserve"> </w:t>
      </w:r>
      <w:r>
        <w:rPr>
          <w:bCs/>
          <w:b/>
        </w:rPr>
        <w:t xml:space="preserve">Turkey Istanbul</w:t>
      </w:r>
      <w:r>
        <w:t xml:space="preserve">, there is often a distinction between ownership and management. The auditor serves as a bridge, providing independent assurance to minority shareholders that their interests are protected against potential tunneling or related-party transaction abuses.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Turkey Istanbul</w:t>
      </w:r>
      <w:r>
        <w:t xml:space="preserve"> </w:t>
      </w:r>
      <w:r>
        <w:t xml:space="preserve">is multifaceted and increasingly demanding. It requires not only technical expertise in accounting standards and legal compliance but also a nuanced understanding of the local economic landscape, particularly regarding inflation and corporate governance structures. As</w:t>
      </w:r>
      <w:r>
        <w:t xml:space="preserve"> </w:t>
      </w:r>
      <w:r>
        <w:rPr>
          <w:bCs/>
          <w:b/>
        </w:rPr>
        <w:t xml:space="preserve">Turkey Istanbul</w:t>
      </w:r>
    </w:p>
    <w:bookmarkEnd w:id="28"/>
    <w:bookmarkStart w:id="29" w:name="references"/>
    <w:p>
      <w:pPr>
        <w:pStyle w:val="Heading2"/>
      </w:pPr>
      <w:r>
        <w:t xml:space="preserve">References</w:t>
      </w:r>
    </w:p>
    <w:p>
      <w:pPr>
        <w:numPr>
          <w:ilvl w:val="0"/>
          <w:numId w:val="1001"/>
        </w:numPr>
        <w:pStyle w:val="Compact"/>
      </w:pPr>
      <w:r>
        <w:t xml:space="preserve">[1] Turkish Commercial Law No. 6102, Official Gazette of the Republic of Turkey.</w:t>
      </w:r>
    </w:p>
    <w:p>
      <w:pPr>
        <w:numPr>
          <w:ilvl w:val="0"/>
          <w:numId w:val="1001"/>
        </w:numPr>
        <w:pStyle w:val="Compact"/>
      </w:pPr>
      <w:r>
        <w:t xml:space="preserve">[2] Public Oversight Authority (PKK) Regulation on Auditing Standards and Principles.</w:t>
      </w:r>
    </w:p>
    <w:p>
      <w:pPr>
        <w:numPr>
          <w:ilvl w:val="0"/>
          <w:numId w:val="1001"/>
        </w:numPr>
        <w:pStyle w:val="Compact"/>
      </w:pPr>
      <w:r>
        <w:t xml:space="preserve">[3] International Federation of Accountants (IFAC). "International Standards on Auditing (ISA)." New York: IFAC, 2020.</w:t>
      </w:r>
    </w:p>
    <w:p>
      <w:pPr>
        <w:numPr>
          <w:ilvl w:val="0"/>
          <w:numId w:val="1001"/>
        </w:numPr>
        <w:pStyle w:val="Compact"/>
      </w:pPr>
      <w:r>
        <w:t xml:space="preserve">[4] Capital Markets Board of Turkey (SPK) Communiqué Seri II No. 14.1 on Disclosure Standards.</w:t>
      </w:r>
    </w:p>
    <w:p>
      <w:pPr>
        <w:numPr>
          <w:ilvl w:val="0"/>
          <w:numId w:val="1001"/>
        </w:numPr>
        <w:pStyle w:val="Compact"/>
      </w:pPr>
      <w:r>
        <w:t xml:space="preserve">[5] International Accounting Standards Board (IASB). "IAS 29: Financial Reporting in Hyperinflationary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Auditor in Turkey Istanbul</dc:title>
  <dc:creator/>
  <dc:language>en</dc:language>
  <cp:keywords/>
  <dcterms:created xsi:type="dcterms:W3CDTF">2026-07-29T11:59:25Z</dcterms:created>
  <dcterms:modified xsi:type="dcterms:W3CDTF">2026-07-29T11:59:25Z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