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Adaptation</w:t>
      </w:r>
      <w:r>
        <w:t xml:space="preserve"> </w:t>
      </w:r>
      <w:r>
        <w:t xml:space="preserve">and</w:t>
      </w:r>
      <w:r>
        <w:t xml:space="preserve"> </w:t>
      </w:r>
      <w:r>
        <w:t xml:space="preserve">Economic</w:t>
      </w:r>
      <w:r>
        <w:t xml:space="preserve"> </w:t>
      </w:r>
      <w:r>
        <w:t xml:space="preserve">Leadership</w:t>
      </w:r>
      <w:r>
        <w:t xml:space="preserve"> </w:t>
      </w:r>
      <w:r>
        <w:t xml:space="preserve">in</w:t>
      </w:r>
      <w:r>
        <w:t xml:space="preserve"> </w:t>
      </w:r>
      <w:r>
        <w:t xml:space="preserve">Argentina,</w:t>
      </w:r>
      <w:r>
        <w:t xml:space="preserve"> </w:t>
      </w:r>
      <w:r>
        <w:t xml:space="preserve">Córdoba</w:t>
      </w:r>
    </w:p>
    <w:bookmarkStart w:id="26" w:name="Xcd3787e88395ea8c1a8897c073f8e7dbe22320a"/>
    <w:p>
      <w:pPr>
        <w:pStyle w:val="Heading1"/>
      </w:pPr>
      <w:r>
        <w:t xml:space="preserve">The Modern Banker: Strategic Adaptation and Economic Leadership in Argentina, Córdoba</w:t>
      </w:r>
    </w:p>
    <w:p>
      <w:pPr>
        <w:pStyle w:val="FirstParagraph"/>
      </w:pPr>
      <w:r>
        <w:rPr>
          <w:bCs/>
          <w:b/>
        </w:rPr>
        <w:t xml:space="preserve">A Term Paper Submitted in Partial Fulfillment of the Requirements for Financial Economics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financial landscape of Argentina is characterized by a unique dichotomy between macroeconomic volatility and resilient local economic engines. Within this complex environment, the role of the</w:t>
      </w:r>
      <w:r>
        <w:t xml:space="preserve"> </w:t>
      </w:r>
      <w:r>
        <w:rPr>
          <w:bCs/>
          <w:b/>
        </w:rPr>
        <w:t xml:space="preserve">Banker</w:t>
      </w:r>
      <w:r>
        <w:t xml:space="preserve"> </w:t>
      </w:r>
      <w:r>
        <w:t xml:space="preserve">has evolved from that of a mere custodian of capital to that of a strategic navigator and community anchor. Nowhere is this evolution more critical than in Córdoba, Argentina’s second-largest economic hub. Known historically as the industrial heartland and university center of the nation, Córdoba presents a distinct case study for understanding how traditional banking principles must adapt to local realities in</w:t>
      </w:r>
      <w:r>
        <w:t xml:space="preserve"> </w:t>
      </w:r>
      <w:r>
        <w:rPr>
          <w:bCs/>
          <w:b/>
        </w:rPr>
        <w:t xml:space="preserve">Argentina Córdoba</w:t>
      </w:r>
      <w:r>
        <w:t xml:space="preserve">. This term paper examines the multifaceted responsibilities of the modern</w:t>
      </w:r>
      <w:r>
        <w:t xml:space="preserve"> </w:t>
      </w:r>
      <w:r>
        <w:rPr>
          <w:bCs/>
          <w:b/>
        </w:rPr>
        <w:t xml:space="preserve">Banker</w:t>
      </w:r>
      <w:r>
        <w:t xml:space="preserve">, analyzing how financial institutions in Córdoba navigate inflationary pressures, regulatory constraints, and the specific needs of provincial SMEs (Small and Medium Enterprises).</w:t>
      </w:r>
    </w:p>
    <w:bookmarkEnd w:id="20"/>
    <w:bookmarkStart w:id="21" w:name="Xe655fceef60ac1c9e01f200b0c7992f26eb405d"/>
    <w:p>
      <w:pPr>
        <w:pStyle w:val="Heading2"/>
      </w:pPr>
      <w:r>
        <w:t xml:space="preserve">II. The Economic Context of Córdoba, Argentina</w:t>
      </w:r>
    </w:p>
    <w:p>
      <w:pPr>
        <w:pStyle w:val="FirstParagraph"/>
      </w:pPr>
      <w:r>
        <w:t xml:space="preserve">To understand the mandate of the</w:t>
      </w:r>
      <w:r>
        <w:t xml:space="preserve"> </w:t>
      </w:r>
      <w:r>
        <w:rPr>
          <w:bCs/>
          <w:b/>
        </w:rPr>
        <w:t xml:space="preserve">Banker</w:t>
      </w:r>
      <w:r>
        <w:t xml:space="preserve">, one must first appreciate the economic substrate of its primary operational zone: Córdoba. Unlike Buenos Aires, which serves as a financial and political capital consumed by service-oriented and speculative markets, the economy in</w:t>
      </w:r>
      <w:r>
        <w:t xml:space="preserve"> </w:t>
      </w:r>
      <w:r>
        <w:rPr>
          <w:bCs/>
          <w:b/>
        </w:rPr>
        <w:t xml:space="preserve">Argentina Córdoba</w:t>
      </w:r>
      <w:r>
        <w:t xml:space="preserve"> </w:t>
      </w:r>
      <w:r>
        <w:t xml:space="preserve">is deeply rooted in industry, agribusiness, and technology. The province contributes significantly to the national GDP through automotive manufacturing (notably the Vinal group plants), aerospace engineering (the Parque Tecnológico Metropolitano), and grain production.</w:t>
      </w:r>
    </w:p>
    <w:p>
      <w:pPr>
        <w:pStyle w:val="BodyText"/>
      </w:pPr>
      <w:r>
        <w:t xml:space="preserve">This industrial base creates specific financing needs that differ vastly from those of metropolitan financial districts. The local</w:t>
      </w:r>
      <w:r>
        <w:t xml:space="preserve"> </w:t>
      </w:r>
      <w:r>
        <w:rPr>
          <w:bCs/>
          <w:b/>
        </w:rPr>
        <w:t xml:space="preserve">Banker</w:t>
      </w:r>
      <w:r>
        <w:t xml:space="preserve"> </w:t>
      </w:r>
      <w:r>
        <w:t xml:space="preserve">in Córdoba must possess a granular understanding of supply chain finance, inventory financing for manufacturers, and credit structures tailored to the seasonal nature of agribusiness. Furthermore, Córdoba’s reputation as a major university city has fostered a burgeoning tech startup ecosystem (Córdoba Tech Cluster). Consequently, the</w:t>
      </w:r>
      <w:r>
        <w:t xml:space="preserve"> </w:t>
      </w:r>
      <w:r>
        <w:rPr>
          <w:bCs/>
          <w:b/>
        </w:rPr>
        <w:t xml:space="preserve">Banker</w:t>
      </w:r>
      <w:r>
        <w:t xml:space="preserve"> </w:t>
      </w:r>
      <w:r>
        <w:t xml:space="preserve">in this region is increasingly required to balance traditional collateral-based lending with more innovative valuation models for intangible assets held by technology firms.</w:t>
      </w:r>
    </w:p>
    <w:bookmarkEnd w:id="21"/>
    <w:bookmarkStart w:id="22" w:name="X98ccf91d68cf086eb557314c0383407824671c7"/>
    <w:p>
      <w:pPr>
        <w:pStyle w:val="Heading2"/>
      </w:pPr>
      <w:r>
        <w:t xml:space="preserve">III. The Evolving Role of the Banker in a Volatile Economy</w:t>
      </w:r>
    </w:p>
    <w:p>
      <w:pPr>
        <w:pStyle w:val="FirstParagraph"/>
      </w:pPr>
      <w:r>
        <w:t xml:space="preserve">In the context of</w:t>
      </w:r>
      <w:r>
        <w:t xml:space="preserve"> </w:t>
      </w:r>
      <w:r>
        <w:rPr>
          <w:bCs/>
          <w:b/>
        </w:rPr>
        <w:t xml:space="preserve">Argentina Córdoba</w:t>
      </w:r>
      <w:r>
        <w:t xml:space="preserve">, the definition of a successful</w:t>
      </w:r>
      <w:r>
        <w:t xml:space="preserve"> </w:t>
      </w:r>
      <w:r>
        <w:rPr>
          <w:bCs/>
          <w:b/>
        </w:rPr>
        <w:t xml:space="preserve">Banker</w:t>
      </w:r>
    </w:p>
    <w:p>
      <w:pPr>
        <w:pStyle w:val="BodyText"/>
      </w:pPr>
      <w:r>
        <w:t xml:space="preserve">The term "Banker" historically conjures images of conservative risk management and steady growth. However, in an environment marked by high inflation, currency devaluation, and frequent regulatory shifts (such as the "cepo cambiario"), the modern</w:t>
      </w:r>
      <w:r>
        <w:t xml:space="preserve"> </w:t>
      </w:r>
      <w:r>
        <w:rPr>
          <w:bCs/>
          <w:b/>
        </w:rPr>
        <w:t xml:space="preserve">Banker</w:t>
      </w:r>
      <w:r>
        <w:t xml:space="preserve"> </w:t>
      </w:r>
      <w:r>
        <w:t xml:space="preserve">must also be a macroeconomic analyst. The professional must actively manage balance sheets against peso depreciation while maintaining liquidity.</w:t>
      </w:r>
    </w:p>
    <w:p>
      <w:pPr>
        <w:pStyle w:val="BodyText"/>
      </w:pPr>
      <w:r>
        <w:t xml:space="preserve">This requires the</w:t>
      </w:r>
      <w:r>
        <w:t xml:space="preserve"> </w:t>
      </w:r>
      <w:r>
        <w:rPr>
          <w:bCs/>
          <w:b/>
        </w:rPr>
        <w:t xml:space="preserve">Banker</w:t>
      </w:r>
    </w:p>
    <w:p>
      <w:pPr>
        <w:numPr>
          <w:ilvl w:val="0"/>
          <w:numId w:val="1001"/>
        </w:numPr>
        <w:pStyle w:val="Compact"/>
      </w:pPr>
      <w:r>
        <w:t xml:space="preserve">Diversification of assets into local currency instruments or linked savings products that offer real returns above inflation.</w:t>
      </w:r>
    </w:p>
    <w:p>
      <w:pPr>
        <w:numPr>
          <w:ilvl w:val="0"/>
          <w:numId w:val="1001"/>
        </w:numPr>
        <w:pStyle w:val="Compact"/>
      </w:pPr>
      <w:r>
        <w:t xml:space="preserve">Active communication with clients to manage expectations and retain deposits during periods of market stress.</w:t>
      </w:r>
    </w:p>
    <w:p>
      <w:pPr>
        <w:pStyle w:val="FirstParagraph"/>
      </w:pPr>
      <w:r>
        <w:t xml:space="preserve">In Córdoba, this role is particularly sensitive due to the proximity of major industrial players. A misstep in risk assessment by a</w:t>
      </w:r>
      <w:r>
        <w:t xml:space="preserve"> </w:t>
      </w:r>
      <w:r>
        <w:rPr>
          <w:bCs/>
          <w:b/>
        </w:rPr>
        <w:t xml:space="preserve">Banker</w:t>
      </w:r>
    </w:p>
    <w:bookmarkEnd w:id="22"/>
    <w:bookmarkStart w:id="23" w:name="Xdfdec66c83d7ce544b7107e5315f7abfb764c70"/>
    <w:p>
      <w:pPr>
        <w:pStyle w:val="Heading2"/>
      </w:pPr>
      <w:r>
        <w:t xml:space="preserve">IV. The Banker as an Agent of Local Development</w:t>
      </w:r>
    </w:p>
    <w:p>
      <w:pPr>
        <w:pStyle w:val="FirstParagraph"/>
      </w:pPr>
      <w:r>
        <w:t xml:space="preserve">Beyond profit maximization, the contemporary discourse surrounding the</w:t>
      </w:r>
      <w:r>
        <w:t xml:space="preserve"> </w:t>
      </w:r>
      <w:r>
        <w:rPr>
          <w:bCs/>
          <w:b/>
        </w:rPr>
        <w:t xml:space="preserve">Banker</w:t>
      </w:r>
    </w:p>
    <w:p>
      <w:pPr>
        <w:numPr>
          <w:ilvl w:val="0"/>
          <w:numId w:val="1002"/>
        </w:numPr>
        <w:pStyle w:val="Compact"/>
      </w:pPr>
      <w:r>
        <w:t xml:space="preserve">Green Finance: Providing preferential lending rates for industrial clients in Córdoba who invest in sustainable manufacturing processes or renewable energy infrastructure.</w:t>
      </w:r>
    </w:p>
    <w:p>
      <w:pPr>
        <w:numPr>
          <w:ilvl w:val="0"/>
          <w:numId w:val="1002"/>
        </w:numPr>
        <w:pStyle w:val="Compact"/>
      </w:pPr>
      <w:r>
        <w:t xml:space="preserve">SME Support Programs: Designing credit lines specifically for local artisans and small manufacturers, often requiring the</w:t>
      </w:r>
      <w:r>
        <w:t xml:space="preserve"> </w:t>
      </w:r>
      <w:r>
        <w:rPr>
          <w:bCs/>
          <w:b/>
        </w:rPr>
        <w:t xml:space="preserve">Banker</w:t>
      </w:r>
    </w:p>
    <w:p>
      <w:pPr>
        <w:pStyle w:val="FirstParagraph"/>
      </w:pPr>
      <w:r>
        <w:t xml:space="preserve">The relationship between the</w:t>
      </w:r>
      <w:r>
        <w:t xml:space="preserve"> </w:t>
      </w:r>
      <w:r>
        <w:rPr>
          <w:bCs/>
          <w:b/>
        </w:rPr>
        <w:t xml:space="preserve">Banker</w:t>
      </w:r>
    </w:p>
    <w:p>
      <w:pPr>
        <w:pStyle w:val="BodyText"/>
      </w:pPr>
      <w:r>
        <w:t xml:space="preserve">V. Regulatory Challenges and Compliance in Argentina Córdoba</w:t>
      </w:r>
    </w:p>
    <w:p>
      <w:pPr>
        <w:pStyle w:val="BodyText"/>
      </w:pPr>
      <w:r>
        <w:t xml:space="preserve">The regulatory framework governing banking in Argentina is stringent and frequently updated by the Central Bank of the Argentine Republic (BCRA). For a</w:t>
      </w:r>
      <w:r>
        <w:t xml:space="preserve"> </w:t>
      </w:r>
      <w:r>
        <w:rPr>
          <w:bCs/>
          <w:b/>
        </w:rPr>
        <w:t xml:space="preserve">Banker</w:t>
      </w:r>
    </w:p>
    <w:p>
      <w:pPr>
        <w:numPr>
          <w:ilvl w:val="0"/>
          <w:numId w:val="1003"/>
        </w:numPr>
        <w:pStyle w:val="Compact"/>
      </w:pPr>
      <w:r>
        <w:t xml:space="preserve">Anti-Money Laundering (AML): Rigorous due diligence processes to ensure that the flow of funds associated with industrial and agricultural exports is transparent.</w:t>
      </w:r>
    </w:p>
    <w:p>
      <w:pPr>
        <w:numPr>
          <w:ilvl w:val="0"/>
          <w:numId w:val="1003"/>
        </w:numPr>
        <w:pStyle w:val="Compact"/>
      </w:pPr>
      <w:r>
        <w:t xml:space="preserve">Consumer Protection: Adhering to strict guidelines regarding interest rate transparency and fee structures, which is crucial for maintaining trust in a consumer base often wary of financial institutions due to historical economic crises.</w:t>
      </w:r>
    </w:p>
    <w:p>
      <w:pPr>
        <w:pStyle w:val="FirstParagraph"/>
      </w:pPr>
      <w:r>
        <w:t xml:space="preserve">Navigating these regulations requires the</w:t>
      </w:r>
      <w:r>
        <w:t xml:space="preserve"> </w:t>
      </w:r>
      <w:r>
        <w:rPr>
          <w:bCs/>
          <w:b/>
        </w:rPr>
        <w:t xml:space="preserve">Banker</w:t>
      </w:r>
    </w:p>
    <w:p>
      <w:pPr>
        <w:pStyle w:val="BodyText"/>
      </w:pPr>
      <w:r>
        <w:t xml:space="preserve">VI. The Impact of Technology on Banking in Córdoba</w:t>
      </w:r>
    </w:p>
    <w:p>
      <w:pPr>
        <w:pStyle w:val="BodyText"/>
      </w:pPr>
      <w:r>
        <w:t xml:space="preserve">The digital transformation has reshaped the profession of the</w:t>
      </w:r>
      <w:r>
        <w:t xml:space="preserve"> </w:t>
      </w:r>
      <w:r>
        <w:rPr>
          <w:bCs/>
          <w:b/>
        </w:rPr>
        <w:t xml:space="preserve">Banker</w:t>
      </w:r>
      <w:r>
        <w:t xml:space="preserve">. In Argentina, smartphone penetration and internet access have surged, even in provinces like Córdoba. This shift demands that the traditional branch-based model evolves into an omnichannel approach.</w:t>
      </w:r>
    </w:p>
    <w:p>
      <w:pPr>
        <w:pStyle w:val="BodyText"/>
      </w:pPr>
      <w:r>
        <w:t xml:space="preserve">The modern</w:t>
      </w:r>
      <w:r>
        <w:t xml:space="preserve"> </w:t>
      </w:r>
      <w:r>
        <w:rPr>
          <w:bCs/>
          <w:b/>
        </w:rPr>
        <w:t xml:space="preserve">Banker</w:t>
      </w:r>
    </w:p>
    <w:p>
      <w:pPr>
        <w:pStyle w:val="BodyText"/>
      </w:pPr>
      <w:r>
        <w:t xml:space="preserve">Data Analytics: Utilizing big data to assess creditworthiness beyond traditional FICO scores, which is particularly useful for evaluating startups in the Córdoba tech ecosystem.</w:t>
      </w:r>
    </w:p>
    <w:p>
      <w:pPr>
        <w:pStyle w:val="BodyText"/>
      </w:pPr>
      <w:r>
        <w:t xml:space="preserve">Mobile Banking Platforms: Ensuring that digital interfaces are robust and user-friendly, allowing clients in remote parts of the province to access financial services seamlessly.</w:t>
      </w:r>
    </w:p>
    <w:p>
      <w:pPr>
        <w:pStyle w:val="BodyText"/>
      </w:pPr>
      <w:r>
        <w:t xml:space="preserve">Cybersecurity: Protecting client data against increasing cyber threats, a responsibility that falls squarely on the shoulders of senior</w:t>
      </w:r>
      <w:r>
        <w:t xml:space="preserve"> </w:t>
      </w:r>
      <w:r>
        <w:rPr>
          <w:bCs/>
          <w:b/>
        </w:rPr>
        <w:t xml:space="preserve">Banker</w:t>
      </w:r>
    </w:p>
    <w:p>
      <w:pPr>
        <w:pStyle w:val="BodyText"/>
      </w:pPr>
      <w:r>
        <w:t xml:space="preserve">This technological adoption is not merely an operational upgrade but a strategic imperative. Banks in Córdoba that fail to digitize risk losing market share to national fintech competitors and larger banks based in Buenos Aires.</w:t>
      </w:r>
    </w:p>
    <w:bookmarkEnd w:id="23"/>
    <w:bookmarkStart w:id="24" w:name="X9b937f20243ce3430e535228a0da79f00cce013"/>
    <w:p>
      <w:pPr>
        <w:pStyle w:val="Heading2"/>
      </w:pPr>
      <w:r>
        <w:t xml:space="preserve">VII. Social Responsibility and Community Trust</w:t>
      </w:r>
    </w:p>
    <w:p>
      <w:pPr>
        <w:pStyle w:val="FirstParagraph"/>
      </w:pPr>
      <w:r>
        <w:t xml:space="preserve">In the intimate business culture of Córdoba, trust is paramount. The</w:t>
      </w:r>
      <w:r>
        <w:t xml:space="preserve"> </w:t>
      </w:r>
      <w:r>
        <w:rPr>
          <w:bCs/>
          <w:b/>
        </w:rPr>
        <w:t xml:space="preserve">Banker</w:t>
      </w:r>
    </w:p>
    <w:p>
      <w:pPr>
        <w:numPr>
          <w:ilvl w:val="0"/>
          <w:numId w:val="1004"/>
        </w:numPr>
        <w:pStyle w:val="Compact"/>
      </w:pPr>
      <w:r>
        <w:t xml:space="preserve">Community Engagement: Supporting local sports teams, cultural festivals, and charitable organizations. This "social license to operate" enhances brand loyalty among residents of</w:t>
      </w:r>
      <w:r>
        <w:t xml:space="preserve"> </w:t>
      </w:r>
      <w:r>
        <w:rPr>
          <w:bCs/>
          <w:b/>
        </w:rPr>
        <w:t xml:space="preserve">Argentina Córdoba</w:t>
      </w:r>
      <w:r>
        <w:t xml:space="preserve">.</w:t>
      </w:r>
    </w:p>
    <w:p>
      <w:pPr>
        <w:numPr>
          <w:ilvl w:val="0"/>
          <w:numId w:val="1004"/>
        </w:numPr>
        <w:pStyle w:val="Compact"/>
      </w:pPr>
      <w:r>
        <w:t xml:space="preserve">Ethical Lending: Refusing predatory lending practices and ensuring that credit products are structured responsibly to prevent over-indebtedness among vulnerable populations.</w:t>
      </w:r>
    </w:p>
    <w:p>
      <w:pPr>
        <w:pStyle w:val="FirstParagraph"/>
      </w:pPr>
      <w:r>
        <w:t xml:space="preserve">This community-centric approach differentiates local banking professionals from impersonal corporate entities. The</w:t>
      </w:r>
      <w:r>
        <w:t xml:space="preserve"> </w:t>
      </w:r>
      <w:r>
        <w:rPr>
          <w:bCs/>
          <w:b/>
        </w:rPr>
        <w:t xml:space="preserve">Banker</w:t>
      </w:r>
    </w:p>
    <w:p>
      <w:pPr>
        <w:pStyle w:val="BodyText"/>
      </w:pPr>
      <w:r>
        <w:t xml:space="preserve">VIII. Conclusion</w:t>
      </w:r>
    </w:p>
    <w:p>
      <w:pPr>
        <w:pStyle w:val="BodyText"/>
      </w:pPr>
      <w:r>
        <w:t xml:space="preserve">In conclusion, the role of the</w:t>
      </w:r>
      <w:r>
        <w:t xml:space="preserve"> </w:t>
      </w:r>
      <w:r>
        <w:rPr>
          <w:bCs/>
          <w:b/>
        </w:rPr>
        <w:t xml:space="preserve">Banker</w:t>
      </w:r>
    </w:p>
    <w:p>
      <w:pPr>
        <w:numPr>
          <w:ilvl w:val="0"/>
          <w:numId w:val="1005"/>
        </w:numPr>
        <w:pStyle w:val="Compact"/>
      </w:pPr>
      <w:r>
        <w:t xml:space="preserve">Local Developer: Financing industry and agriculture while fostering innovation in Córdoba’s tech sector.</w:t>
      </w:r>
    </w:p>
    <w:p>
      <w:pPr>
        <w:numPr>
          <w:ilvl w:val="0"/>
          <w:numId w:val="1005"/>
        </w:numPr>
        <w:pStyle w:val="Compact"/>
      </w:pPr>
      <w:r>
        <w:t xml:space="preserve">Digital Innovator: Integrating technology to improve efficiency and accessibility.</w:t>
      </w:r>
    </w:p>
    <w:p>
      <w:pPr>
        <w:numPr>
          <w:ilvl w:val="0"/>
          <w:numId w:val="1005"/>
        </w:numPr>
        <w:pStyle w:val="Compact"/>
      </w:pPr>
      <w:r>
        <w:t xml:space="preserve">Community Anchor: Building trust through transparency, education, and social responsibility.</w:t>
      </w:r>
    </w:p>
    <w:p>
      <w:pPr>
        <w:pStyle w:val="FirstParagraph"/>
      </w:pPr>
      <w:r>
        <w:t xml:space="preserve">As Argentina continues to grapple with structural economic challenges, the resilience of its regional economies will depend significantly on the competence and adaptability of its financial institutions. In Córdoba, this places a heavy burden on the shoulders of every professional who identifies as a</w:t>
      </w:r>
      <w:r>
        <w:t xml:space="preserve"> </w:t>
      </w:r>
      <w:r>
        <w:rPr>
          <w:bCs/>
          <w:b/>
        </w:rPr>
        <w:t xml:space="preserve">Banker</w:t>
      </w:r>
    </w:p>
    <w:p>
      <w:r>
        <w:pict>
          <v:rect style="width:0;height:1.5pt" o:hralign="center" o:hrstd="t" o:hr="t"/>
        </w:pict>
      </w:r>
    </w:p>
    <w:bookmarkEnd w:id="24"/>
    <w:bookmarkStart w:id="25" w:name="references-selected-bibliography"/>
    <w:p>
      <w:pPr>
        <w:pStyle w:val="Heading2"/>
      </w:pPr>
      <w:r>
        <w:t xml:space="preserve">References (Selected Bibliography)</w:t>
      </w:r>
    </w:p>
    <w:p>
      <w:pPr>
        <w:pStyle w:val="FirstParagraph"/>
      </w:pPr>
      <w:r>
        <w:t xml:space="preserve">- Central Bank of the Argentine Republic (BCRA). Annual Reports on Financial Stability.</w:t>
      </w:r>
    </w:p>
    <w:p>
      <w:pPr>
        <w:pStyle w:val="BodyText"/>
      </w:pPr>
      <w:r>
        <w:t xml:space="preserve">- Gobierno de la Provincia de Córdoba. Secretaría de Desarrollo Económico. Strategic Plans for Industrial Development.</w:t>
      </w:r>
    </w:p>
    <w:p>
      <w:pPr>
        <w:pStyle w:val="BodyText"/>
      </w:pPr>
      <w:r>
        <w:t xml:space="preserve">- International Monetary Fund (IMF). Country Reports on Argentina: Economic Outlook and Sectoral Analysis.</w:t>
      </w:r>
    </w:p>
    <w:p>
      <w:pPr>
        <w:pStyle w:val="BodyText"/>
      </w:pPr>
      <w:r>
        <w:t xml:space="preserve">- Universidad Nacional de Córdoba (UNC). Faculty of Economic Sciences. Research Papers on Regional Financial Markets.</w:t>
      </w:r>
    </w:p>
    <w:p>
      <w:pPr>
        <w:pStyle w:val="BodyText"/>
      </w:pPr>
      <w:r>
        <w:t xml:space="preserve">- World Bank Group. Argentina Development Update: Navigating Volatility.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Adaptation and Economic Leadership in Argentina, Córdoba</dc:title>
  <dc:creator/>
  <dc:language>en</dc:language>
  <cp:keywords/>
  <dcterms:created xsi:type="dcterms:W3CDTF">2026-07-29T13:06:28Z</dcterms:created>
  <dcterms:modified xsi:type="dcterms:W3CDTF">2026-07-29T13:06:28Z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