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term-paper"/>
    <w:p>
      <w:pPr>
        <w:pStyle w:val="Heading1"/>
      </w:pPr>
      <w:r>
        <w:t xml:space="preserve">Term Paper</w:t>
      </w:r>
    </w:p>
    <w:p>
      <w:pPr>
        <w:pStyle w:val="FirstParagraph"/>
      </w:pPr>
      <w:r>
        <w:br/>
      </w:r>
      <w:r>
        <w:t xml:space="preserve">The Evolution, Impact, and Future of the</w:t>
      </w:r>
      <w:r>
        <w:br/>
      </w:r>
      <w:r>
        <w:rPr>
          <w:bCs/>
          <w:b/>
        </w:rPr>
        <w:t xml:space="preserve">Banker</w:t>
      </w:r>
      <w:r>
        <w:br/>
      </w:r>
      <w:r>
        <w:t xml:space="preserve">in the Financial Landscape of</w:t>
      </w:r>
      <w:r>
        <w:br/>
      </w:r>
      <w:r>
        <w:rPr>
          <w:bCs/>
          <w:b/>
        </w:rPr>
        <w:t xml:space="preserve">Australia Melbourne</w:t>
      </w:r>
    </w:p>
    <w:p>
      <w:pPr>
        <w:pStyle w:val="BodyText"/>
      </w:pPr>
      <w:r>
        <w:br/>
      </w:r>
      <w:r>
        <w:rPr>
          <w:iCs/>
          <w:i/>
        </w:rPr>
        <w:t xml:space="preserve">A Comprehensive Analysis of Banking Practices in a Global City</w:t>
      </w:r>
    </w:p>
    <w:bookmarkEnd w:id="20"/>
    <w:bookmarkStart w:id="21" w:name="abstract"/>
    <w:p>
      <w:pPr>
        <w:pStyle w:val="Heading2"/>
      </w:pPr>
      <w:r>
        <w:t xml:space="preserve">Abstract</w:t>
      </w:r>
    </w:p>
    <w:p>
      <w:pPr>
        <w:pStyle w:val="FirstParagraph"/>
      </w:pPr>
      <w:r>
        <w:t xml:space="preserve">This term paper explores the multifaceted role of the banker within the specific economic context of Australia, with a focused lens on its capital and cultural hub, Melbourne. As financial centers evolve globally, understanding local banking dynamics is crucial for stakeholders ranging from policymakers to individual consumers. This document examines historical developments, regulatory frameworks under Australian law, and contemporary challenges such as digital transformation and environmental sustainability. By analyzing data specific to Australia Melbourne's unique market characteristics—including its high population density of financial institutions and its status as a gateway for Asia-Pacific investment—this paper argues that the modern banker in this region must transcend traditional transactional roles to become strategic advisors who navigate complex regulatory environments while fostering inclusive economic growth.</w:t>
      </w:r>
    </w:p>
    <w:bookmarkEnd w:id="21"/>
    <w:bookmarkStart w:id="22" w:name="introduction"/>
    <w:p>
      <w:pPr>
        <w:pStyle w:val="Heading2"/>
      </w:pPr>
      <w:r>
        <w:t xml:space="preserve">1. Introduction</w:t>
      </w:r>
    </w:p>
    <w:p>
      <w:pPr>
        <w:pStyle w:val="FirstParagraph"/>
      </w:pPr>
      <w:r>
        <w:t xml:space="preserve">The concept of the</w:t>
      </w:r>
      <w:r>
        <w:t xml:space="preserve"> </w:t>
      </w:r>
      <w:r>
        <w:rPr>
          <w:bCs/>
          <w:b/>
        </w:rPr>
        <w:t xml:space="preserve">Banker</w:t>
      </w:r>
    </w:p>
    <w:p>
      <w:pPr>
        <w:pStyle w:val="BodyText"/>
      </w:pPr>
      <w:r>
        <w:t xml:space="preserve">In recent decades, Melbourne has established itself not only as Australia’s cultural capital but also as a premier financial hub in the Asia-Pacific region. With a concentration of headquarters for major domestic banks and international financial institutions,</w:t>
      </w:r>
      <w:r>
        <w:t xml:space="preserve"> </w:t>
      </w:r>
      <w:r>
        <w:rPr>
          <w:bCs/>
          <w:b/>
        </w:rPr>
        <w:t xml:space="preserve">Australia Melbourne</w:t>
      </w:r>
    </w:p>
    <w:bookmarkEnd w:id="22"/>
    <w:bookmarkStart w:id="23" w:name="Xffc60f659a83bb698a3b35fa58215f26e609780"/>
    <w:p>
      <w:pPr>
        <w:pStyle w:val="Heading2"/>
      </w:pPr>
      <w:r>
        <w:t xml:space="preserve">2. Historical Context and Market Structure in Australia</w:t>
      </w:r>
    </w:p>
    <w:p>
      <w:pPr>
        <w:pStyle w:val="FirstParagraph"/>
      </w:pPr>
      <w:r>
        <w:t xml:space="preserve">To understand the contemporary role of the banker, one must first appreciate the historical stability that characterizes Australia’s banking sector. Unlike many other developed economies that experienced significant bank failures during the 2008 global financial crisis, Australian banks remained resilient due to conservative lending practices and strong regulatory oversight by the Australian Prudential Regulation Authority (APRA). In</w:t>
      </w:r>
      <w:r>
        <w:t xml:space="preserve"> </w:t>
      </w:r>
      <w:r>
        <w:rPr>
          <w:bCs/>
          <w:b/>
        </w:rPr>
        <w:t xml:space="preserve">Australia Melbourne</w:t>
      </w:r>
    </w:p>
    <w:p>
      <w:pPr>
        <w:pStyle w:val="BodyText"/>
      </w:pPr>
      <w:r>
        <w:t xml:space="preserve">The "Big Four" banks—Commonwealth Bank of Australia (CBA), Westpac, ANZ, and NAB—dominate the landscape. However, Melbourne has also seen a rise in challenger banks and fintech startups headquartered within its tech precincts. This diversification means that the modern</w:t>
      </w:r>
      <w:r>
        <w:t xml:space="preserve"> </w:t>
      </w:r>
      <w:r>
        <w:rPr>
          <w:bCs/>
          <w:b/>
        </w:rPr>
        <w:t xml:space="preserve">Banker</w:t>
      </w:r>
    </w:p>
    <w:bookmarkEnd w:id="23"/>
    <w:bookmarkStart w:id="24" w:name="Xe44fa3a9750cb2733fc2ec0429d52d172e85d09"/>
    <w:p>
      <w:pPr>
        <w:pStyle w:val="Heading2"/>
      </w:pPr>
      <w:r>
        <w:t xml:space="preserve">3. The Changing Role of the Banker: From Custodian to Advisor</w:t>
      </w:r>
    </w:p>
    <w:p>
      <w:pPr>
        <w:pStyle w:val="FirstParagraph"/>
      </w:pPr>
      <w:r>
        <w:t xml:space="preserve">The traditional image of the banker as merely a custodian of deposits and an issuer of loans is rapidly becoming obsolete. In today’s high-interest-rate environment and volatile global markets, clients in</w:t>
      </w:r>
      <w:r>
        <w:t xml:space="preserve"> </w:t>
      </w:r>
      <w:r>
        <w:rPr>
          <w:bCs/>
          <w:b/>
        </w:rPr>
        <w:t xml:space="preserve">Australia Melbourne</w:t>
      </w:r>
    </w:p>
    <w:p>
      <w:pPr>
        <w:pStyle w:val="BodyText"/>
      </w:pPr>
      <w:r>
        <w:t xml:space="preserve">This shift requires bankers to possess a diverse skill set that extends beyond financial mathematics. Emotional intelligence, understanding of local property market trends specific to Melbourne suburbs (such as the impact of infrastructure projects like the Metro Tunnel on real estate values), and proficiency in digital tools are now essential competencies. Furthermore, with wealth management being a significant part of banking in affluent areas like South Yarra and Toorak within</w:t>
      </w:r>
      <w:r>
        <w:t xml:space="preserve"> </w:t>
      </w:r>
      <w:r>
        <w:rPr>
          <w:bCs/>
          <w:b/>
        </w:rPr>
        <w:t xml:space="preserve">Australia Melbourne</w:t>
      </w:r>
    </w:p>
    <w:bookmarkEnd w:id="24"/>
    <w:bookmarkStart w:id="25" w:name="X216c48551e0e2371bdbdcb7960cd0091aca3a54"/>
    <w:p>
      <w:pPr>
        <w:pStyle w:val="Heading2"/>
      </w:pPr>
      <w:r>
        <w:t xml:space="preserve">4. Regulatory Frameworks and Compliance Challenges</w:t>
      </w:r>
    </w:p>
    <w:p>
      <w:pPr>
        <w:pStyle w:val="FirstParagraph"/>
      </w:pPr>
      <w:r>
        <w:t xml:space="preserve">The operating environment for any banker is heavily influenced by regulation. In Australia, the Royal Commission into Misconduct in the Banking, Superannuation and Financial Services Industry (held between 2017 and 2019) had profound implications for how bankers conduct business. The commission exposed failures in customer duty and ethical standards, leading to tighter compliance requirements enforced by ASIC (Australian Securities and Investments Commission).</w:t>
      </w:r>
    </w:p>
    <w:p>
      <w:pPr>
        <w:pStyle w:val="BodyText"/>
      </w:pPr>
      <w:r>
        <w:t xml:space="preserve">For a banker practicing in</w:t>
      </w:r>
      <w:r>
        <w:t xml:space="preserve"> </w:t>
      </w:r>
      <w:r>
        <w:rPr>
          <w:bCs/>
          <w:b/>
        </w:rPr>
        <w:t xml:space="preserve">Australia Melbourne</w:t>
      </w:r>
    </w:p>
    <w:bookmarkEnd w:id="25"/>
    <w:bookmarkStart w:id="26" w:name="Xbc1d47106519f80c3edd7c27af21b4cf818660a"/>
    <w:p>
      <w:pPr>
        <w:pStyle w:val="Heading2"/>
      </w:pPr>
      <w:r>
        <w:t xml:space="preserve">5. Digital Transformation and Fintech Integration</w:t>
      </w:r>
    </w:p>
    <w:p>
      <w:pPr>
        <w:pStyle w:val="FirstParagraph"/>
      </w:pPr>
      <w:r>
        <w:t xml:space="preserve">Melbourne is often referred to as Australia’s tech capital, boasting vibrant innovation ecosystems such as the Hub and other collaborative spaces. This technological surge has forced traditional bankers to adapt or risk irrelevance. Mobile banking apps, AI-driven credit scoring models, and blockchain-based settlement systems are no longer futuristic concepts but current realities.</w:t>
      </w:r>
    </w:p>
    <w:p>
      <w:pPr>
        <w:pStyle w:val="BodyText"/>
      </w:pPr>
      <w:r>
        <w:t xml:space="preserve">The modern banker in</w:t>
      </w:r>
      <w:r>
        <w:t xml:space="preserve"> </w:t>
      </w:r>
      <w:r>
        <w:rPr>
          <w:bCs/>
          <w:b/>
        </w:rPr>
        <w:t xml:space="preserve">Australia Melbourne</w:t>
      </w:r>
    </w:p>
    <w:bookmarkEnd w:id="26"/>
    <w:bookmarkStart w:id="27" w:name="Xb71a9390529f5e683364ba797aec5439b8e62d3"/>
    <w:p>
      <w:pPr>
        <w:pStyle w:val="Heading2"/>
      </w:pPr>
      <w:r>
        <w:t xml:space="preserve">6. Sustainability and ESG (Environmental, Social, and Governance) Criteria</w:t>
      </w:r>
    </w:p>
    <w:p>
      <w:pPr>
        <w:pStyle w:val="FirstParagraph"/>
      </w:pPr>
      <w:r>
        <w:t xml:space="preserve">A growing area of focus for bankers worldwide is the integration of ESG criteria into lending and investment decisions. Consumers in</w:t>
      </w:r>
      <w:r>
        <w:t xml:space="preserve"> </w:t>
      </w:r>
      <w:r>
        <w:rPr>
          <w:bCs/>
          <w:b/>
        </w:rPr>
        <w:t xml:space="preserve">Australia Melbourne</w:t>
      </w:r>
    </w:p>
    <w:p>
      <w:pPr>
        <w:pStyle w:val="BodyText"/>
      </w:pPr>
      <w:r>
        <w:t xml:space="preserve">Banks are increasingly required to disclose their carbon footprints and assess the climate risks associated with their loan portfolios, particularly regarding coal mining projects common in certain Australian states versus sustainable housing developments preferred by many residents of Melbourne. The banker must therefore act as a gatekeeper for sustainable finance, ensuring that capital flows into projects that align with Australia’s net-zero commitments while maintaining profitability.</w:t>
      </w:r>
    </w:p>
    <w:bookmarkEnd w:id="27"/>
    <w:bookmarkStart w:id="28" w:name="X9e40b27319ef68de6006346672d64ddc3cbcaf6"/>
    <w:p>
      <w:pPr>
        <w:pStyle w:val="Heading2"/>
      </w:pPr>
      <w:r>
        <w:t xml:space="preserve">7. Community Engagement and Financial Inclusion</w:t>
      </w:r>
    </w:p>
    <w:p>
      <w:pPr>
        <w:pStyle w:val="FirstParagraph"/>
      </w:pPr>
      <w:r>
        <w:t xml:space="preserve">Beyond profit maximization, there is an increasing expectation for the banking sector to contribute positively to society. In</w:t>
      </w:r>
      <w:r>
        <w:t xml:space="preserve"> </w:t>
      </w:r>
      <w:r>
        <w:rPr>
          <w:bCs/>
          <w:b/>
        </w:rPr>
        <w:t xml:space="preserve">Australia Melbourne</w:t>
      </w:r>
    </w:p>
    <w:p>
      <w:pPr>
        <w:pStyle w:val="BodyText"/>
      </w:pPr>
      <w:r>
        <w:t xml:space="preserve">This community-focused approach enhances brand loyalty and trust, which are critical assets for any banker. By sponsoring local sports teams, supporting arts initiatives (such as those at the Melbourne Arts Centre), and offering financial education programs in schools, bankers embed themselves into the social fabric of the city. This social license to operate is becoming just as important as regulatory compliance.</w:t>
      </w:r>
    </w:p>
    <w:bookmarkEnd w:id="28"/>
    <w:bookmarkStart w:id="29" w:name="future-outlook"/>
    <w:p>
      <w:pPr>
        <w:pStyle w:val="Heading2"/>
      </w:pPr>
      <w:r>
        <w:t xml:space="preserve">8. Future Outlook</w:t>
      </w:r>
    </w:p>
    <w:p>
      <w:pPr>
        <w:pStyle w:val="FirstParagraph"/>
      </w:pPr>
      <w:r>
        <w:t xml:space="preserve">Looking ahead, several trends will shape the profession of banking in</w:t>
      </w:r>
      <w:r>
        <w:t xml:space="preserve"> </w:t>
      </w:r>
      <w:r>
        <w:rPr>
          <w:bCs/>
          <w:b/>
        </w:rPr>
        <w:t xml:space="preserve">Australia Melbourne</w:t>
      </w:r>
    </w:p>
    <w:p>
      <w:pPr>
        <w:numPr>
          <w:ilvl w:val="0"/>
          <w:numId w:val="1001"/>
        </w:numPr>
        <w:pStyle w:val="Compact"/>
      </w:pPr>
      <w:r>
        <w:rPr>
          <w:bCs/>
          <w:b/>
        </w:rPr>
        <w:t xml:space="preserve">Cross-Border Finance:</w:t>
      </w:r>
    </w:p>
    <w:p>
      <w:pPr>
        <w:numPr>
          <w:ilvl w:val="0"/>
          <w:numId w:val="1001"/>
        </w:numPr>
        <w:pStyle w:val="Compact"/>
      </w:pPr>
      <w:r>
        <w:rPr>
          <w:bCs/>
          <w:b/>
        </w:rPr>
        <w:t xml:space="preserve">Cybersecurity:</w:t>
      </w:r>
    </w:p>
    <w:p>
      <w:pPr>
        <w:numPr>
          <w:ilvl w:val="0"/>
          <w:numId w:val="1000"/>
        </w:numPr>
        <w:pStyle w:val="Compact"/>
      </w:pPr>
      <w:r>
        <w:t xml:space="preserve">As digital adoption grows, so does the threat of cybercrime. Bankers must be vigilant guardians of customer data, implementing robust cybersecurity measures to protect against fraud.</w:t>
      </w:r>
    </w:p>
    <w:p>
      <w:pPr>
        <w:pStyle w:val="FirstParagraph"/>
      </w:pPr>
      <w:r>
        <w:t xml:space="preserve">In conclusion, the role of the banker in</w:t>
      </w:r>
      <w:r>
        <w:t xml:space="preserve"> </w:t>
      </w:r>
      <w:r>
        <w:rPr>
          <w:bCs/>
          <w:b/>
        </w:rPr>
        <w:t xml:space="preserve">Australia Melbourne</w:t>
      </w:r>
    </w:p>
    <w:bookmarkEnd w:id="29"/>
    <w:bookmarkStart w:id="30" w:name="conclusion"/>
    <w:p>
      <w:pPr>
        <w:pStyle w:val="Heading2"/>
      </w:pPr>
      <w:r>
        <w:t xml:space="preserve">9. Conclusion</w:t>
      </w:r>
    </w:p>
    <w:p>
      <w:pPr>
        <w:pStyle w:val="FirstParagraph"/>
      </w:pPr>
      <w:r>
        <w:t xml:space="preserve">The evolution of the banking sector in Australia, particularly within the dynamic economic ecosystem of Melbourne, reflects broader global trends while retaining distinct local characteristics. The modern banker is no longer just a financial intermediary but a strategic partner who navigates complex regulatory landscapes, embraces technological innovation, and prioritizes sustainable and ethical practices. For those aspiring to become bankers in</w:t>
      </w:r>
      <w:r>
        <w:t xml:space="preserve"> </w:t>
      </w:r>
      <w:r>
        <w:rPr>
          <w:bCs/>
          <w:b/>
        </w:rPr>
        <w:t xml:space="preserve">Australia Melbourne</w:t>
      </w:r>
    </w:p>
    <w:bookmarkEnd w:id="30"/>
    <w:bookmarkStart w:id="31" w:name="references"/>
    <w:p>
      <w:pPr>
        <w:pStyle w:val="Heading2"/>
      </w:pPr>
      <w:r>
        <w:t xml:space="preserve">References</w:t>
      </w:r>
    </w:p>
    <w:p>
      <w:pPr>
        <w:numPr>
          <w:ilvl w:val="0"/>
          <w:numId w:val="1002"/>
        </w:numPr>
        <w:pStyle w:val="Compact"/>
      </w:pPr>
      <w:r>
        <w:t xml:space="preserve">Australian Prudential Regulation Authority (APRA). (2023). Banking Supervision Policy Statements.</w:t>
      </w:r>
    </w:p>
    <w:p>
      <w:pPr>
        <w:numPr>
          <w:ilvl w:val="0"/>
          <w:numId w:val="1002"/>
        </w:numPr>
        <w:pStyle w:val="Compact"/>
      </w:pPr>
      <w:r>
        <w:t xml:space="preserve">Financial Services Royal Commission Report. (2019). Commonwealth of Australia.</w:t>
      </w:r>
    </w:p>
    <w:p>
      <w:pPr>
        <w:pStyle w:val="FirstParagraph"/>
      </w:pPr>
      <w:r>
        <w:t xml:space="preserve">The Reserve Bank of Australia. Annual Reports and Financial Stability Reviews.</w:t>
      </w:r>
    </w:p>
    <w:p>
      <w:pPr>
        <w:pStyle w:val="BodyText"/>
      </w:pPr>
      <w:r>
        <w:t xml:space="preserve">Melbourne Institute, University of Melbourne. (2024). Economic Trends in Greater Melbourne.</w:t>
      </w:r>
      <w:r>
        <w:br/>
      </w:r>
      <w:r>
        <w:t xml:space="preserve">National Consumer Data Rights &amp; Open Banking Report.</w:t>
      </w:r>
      <w:r>
        <w:br/>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Australia Melbourne</dc:title>
  <dc:creator/>
  <dc:language>en</dc:language>
  <cp:keywords/>
  <dcterms:created xsi:type="dcterms:W3CDTF">2026-07-29T09:59:35Z</dcterms:created>
  <dcterms:modified xsi:type="dcterms:W3CDTF">2026-07-29T09:59:35Z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