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Belgium</w:t>
      </w:r>
      <w:r>
        <w:t xml:space="preserve"> </w:t>
      </w:r>
      <w:r>
        <w:t xml:space="preserve">Brussels</w:t>
      </w:r>
    </w:p>
    <w:bookmarkStart w:id="28" w:name="X3c23636c8ad746f5f735339a4ad79103e6e95b6"/>
    <w:p>
      <w:pPr>
        <w:pStyle w:val="Heading1"/>
      </w:pPr>
      <w:r>
        <w:t xml:space="preserve">The Role and Evolution of the Banker in Belgium Brussels</w:t>
      </w:r>
    </w:p>
    <w:p>
      <w:pPr>
        <w:pStyle w:val="FirstParagraph"/>
      </w:pPr>
      <w:r>
        <w:rPr>
          <w:bCs/>
          <w:b/>
        </w:rPr>
        <w:t xml:space="preserve">A Term Paper Analysis on Financial Leadership, Regulatory Compliance, and Strategic Advisory in the European Capital</w:t>
      </w:r>
    </w:p>
    <w:p>
      <w:r>
        <w:pict>
          <v:rect style="width:0;height:1.5pt" o:hralign="center" o:hrstd="t" o:hr="t"/>
        </w:pict>
      </w:r>
    </w:p>
    <w:bookmarkStart w:id="20" w:name="i.-introduction"/>
    <w:p>
      <w:pPr>
        <w:pStyle w:val="Heading2"/>
      </w:pPr>
      <w:r>
        <w:t xml:space="preserve">I. Introduction</w:t>
      </w:r>
    </w:p>
    <w:p>
      <w:pPr>
        <w:pStyle w:val="FirstParagraph"/>
      </w:pPr>
      <w:r>
        <w:t xml:space="preserve">The financial landscape of the twenty-first century is characterized by unprecedented complexity, driven by digital transformation, stringent regulatory frameworks, and an increasingly interconnected global economy. Within this dynamic environment, the figure of the</w:t>
      </w:r>
      <w:r>
        <w:t xml:space="preserve"> </w:t>
      </w:r>
      <w:r>
        <w:rPr>
          <w:bCs/>
          <w:b/>
        </w:rPr>
        <w:t xml:space="preserve">Banker</w:t>
      </w:r>
      <w:r>
        <w:t xml:space="preserve"> </w:t>
      </w:r>
      <w:r>
        <w:t xml:space="preserve">remains pivotal, serving not merely as a custodian of capital but as a strategic architect of economic stability. This Term Paper focuses specifically on the unique context of Belgium Brussels. As the de facto capital of the European Union and a major global hub for insurance and banking services, Belgium Brussels presents a distinct professional ecosystem. The role here is multifaceted, requiring professionals who possess deep local knowledge while simultaneously navigating supranational regulations emanating from EU institutions.</w:t>
      </w:r>
    </w:p>
    <w:p>
      <w:pPr>
        <w:pStyle w:val="BodyText"/>
      </w:pPr>
      <w:r>
        <w:t xml:space="preserve">The objective of this document is to analyze the evolving responsibilities of the modern banker operating within Belgium Brussels. It will explore how these financial professionals adapt to the dual pressures of maintaining traditional client relationships in a mature market and integrating cutting-edge fintech solutions. Furthermore, it will examine the specific regulatory environment imposed by both national authorities like The National Bank of Belgium (NBB) and European bodies such as the European Central Bank (ECB). By understanding these dynamics, one can appreciate why the banker in Belgium Brussels is often viewed as a bridge between local economic interests and broader European strategic goals.</w:t>
      </w:r>
    </w:p>
    <w:bookmarkEnd w:id="20"/>
    <w:bookmarkStart w:id="21" w:name="Xd8c7e52b51cbc488a2923f6eac2363290214944"/>
    <w:p>
      <w:pPr>
        <w:pStyle w:val="Heading2"/>
      </w:pPr>
      <w:r>
        <w:t xml:space="preserve">II. The Unique Geopolitical and Economic Context of Belgium Brussels</w:t>
      </w:r>
    </w:p>
    <w:p>
      <w:pPr>
        <w:pStyle w:val="FirstParagraph"/>
      </w:pPr>
      <w:r>
        <w:t xml:space="preserve">To understand the role of the banker in this specific locale, one must first appreciate the geopolitical weight of Belgium Brussels. Unlike traditional financial hubs such as London or New York, which are driven primarily by market volume and speculation, Belgium Brussels is defined by its regulatory and political significance. The city hosts a dense concentration of banking headquarters that serve not only their domestic Belgian operations but also act as regional headquarters for international banks managing their European affairs.</w:t>
      </w:r>
    </w:p>
    <w:p>
      <w:pPr>
        <w:pStyle w:val="BodyText"/>
      </w:pPr>
      <w:r>
        <w:t xml:space="preserve">For the banker in Belgium Brussels, this means operating in an environment where policy decisions made within the Berlaymont building or the ECB can have immediate repercussions on balance sheets. Consequently, bankers here must possess a heightened level of political literacy. They are required to anticipate regulatory shifts before they become law, ensuring that their institutions remain compliant and competitive. This anticipatory governance is a key differentiator for bankers in Belgium Brussels compared to their counterparts in purely commercial financial centers.</w:t>
      </w:r>
    </w:p>
    <w:bookmarkEnd w:id="21"/>
    <w:bookmarkStart w:id="25" w:name="X609a055c1f0d86a597fe14516647bc7c4f43942"/>
    <w:p>
      <w:pPr>
        <w:pStyle w:val="Heading2"/>
      </w:pPr>
      <w:r>
        <w:t xml:space="preserve">III. Core Responsibilities of the Modern Banker</w:t>
      </w:r>
    </w:p>
    <w:p>
      <w:pPr>
        <w:pStyle w:val="FirstParagraph"/>
      </w:pPr>
      <w:r>
        <w:t xml:space="preserve">The traditional view of the banker as an intermediary who simply connects savers with borrowers has expanded significantly. In Belgium Brussels, the modern banker is expected to fulfill several critical roles simultaneously.</w:t>
      </w:r>
    </w:p>
    <w:bookmarkStart w:id="22" w:name="X92dbfb9d24daa295540f0237a55268aad8c8633"/>
    <w:p>
      <w:pPr>
        <w:pStyle w:val="Heading3"/>
      </w:pPr>
      <w:r>
        <w:t xml:space="preserve">A. Strategic Advisory and Risk Management</w:t>
      </w:r>
    </w:p>
    <w:p>
      <w:pPr>
        <w:pStyle w:val="FirstParagraph"/>
      </w:pPr>
      <w:r>
        <w:t xml:space="preserve">Banks in this region serve a mix of large multinational corporations, small-to-medium enterprises (SMEs), and high-net-worth individuals. The banker acts as a trusted advisor, helping clients navigate complex cross-border transactions, mergers and acquisitions, and treasury management. Given the volatility of global markets post-pandemic and amidst geopolitical tensions in Eastern Europe, risk management has become paramount. Bankers must employ sophisticated analytical tools to assess credit risk, market risk, and operational risk. In Belgium Brussels specifically, where many banks handle significant cross-border flows within the Eurozone, liquidity management becomes a specialized skill set.</w:t>
      </w:r>
    </w:p>
    <w:bookmarkEnd w:id="22"/>
    <w:bookmarkStart w:id="23" w:name="X1208aee5484aadb73af9d5f1e12306cd971eb0d"/>
    <w:p>
      <w:pPr>
        <w:pStyle w:val="Heading3"/>
      </w:pPr>
      <w:r>
        <w:t xml:space="preserve">B. Regulatory Compliance and Anti-Money Laundering (AML)</w:t>
      </w:r>
    </w:p>
    <w:p>
      <w:pPr>
        <w:pStyle w:val="FirstParagraph"/>
      </w:pPr>
      <w:r>
        <w:t xml:space="preserve">The regulatory burden on bankers has never been heavier. In Belgium Brussels, compliance is not an administrative afterthought but a core business function. Bankers must ensure strict adherence to Anti-Money Laundering (AML) directives and Know Your Customer (KYC) protocols. The transparency required by the EU’s Fourth and Fifth AML Directives means that bankers spend considerable time verifying the source of funds for corporate clients, particularly those involved in international trade or holding assets across multiple jurisdictions. Failure to comply can result in severe penalties, reputational damage, and even loss of banking licenses. Therefore, a significant portion of a banker's skill set is dedicated to ethical compliance and legal adherence.</w:t>
      </w:r>
    </w:p>
    <w:bookmarkEnd w:id="23"/>
    <w:bookmarkStart w:id="24" w:name="X11b628b7efcac9bc2ff1aa0681bae91879e9aaf"/>
    <w:p>
      <w:pPr>
        <w:pStyle w:val="Heading3"/>
      </w:pPr>
      <w:r>
        <w:t xml:space="preserve">C. Digital Transformation and Fintech Integration</w:t>
      </w:r>
    </w:p>
    <w:p>
      <w:pPr>
        <w:pStyle w:val="FirstParagraph"/>
      </w:pPr>
      <w:r>
        <w:t xml:space="preserve">The rise of Financial Technology (Fintech) has disrupted traditional banking models. Bankers in Belgium Brussels are increasingly tasked with integrating digital platforms into their service offerings. This includes deploying mobile banking applications, utilizing artificial intelligence for credit scoring, and exploring blockchain technology for secure transactions. However, this transformation is not just about technology; it is about maintaining the human touch that characterizes Belgian business culture. The successful banker in this region knows how to blend high-tech efficiency with high-touch service delivery.</w:t>
      </w:r>
    </w:p>
    <w:bookmarkEnd w:id="24"/>
    <w:bookmarkEnd w:id="25"/>
    <w:bookmarkStart w:id="26" w:name="X390793b103628394362019c5b846c7eeabd46c5"/>
    <w:p>
      <w:pPr>
        <w:pStyle w:val="Heading2"/>
      </w:pPr>
      <w:r>
        <w:t xml:space="preserve">IV. Challenges Facing Bankers in Belgium Brussels</w:t>
      </w:r>
    </w:p>
    <w:p>
      <w:pPr>
        <w:pStyle w:val="FirstParagraph"/>
      </w:pPr>
      <w:r>
        <w:t xml:space="preserve">The environment for bankers in Belgium Brussels is fraught with challenges. Firstly, the margin compression caused by low interest rates over the past decade has forced banks to find new revenue streams, often leading to aggressive competition for market share among smaller Belgian banks and large international players alike.</w:t>
      </w:r>
    </w:p>
    <w:p>
      <w:pPr>
        <w:pStyle w:val="BodyText"/>
      </w:pPr>
      <w:r>
        <w:t xml:space="preserve">Secondly, the talent war is intense. Attracting skilled professionals who understand both finance and technology is difficult. Bankers must continuously upskill themselves in areas such as data analytics, cybersecurity, and sustainable finance (ESG - Environmental, Social, and Governance criteria). The demand for ESG expertise has skyrocketed as investors increasingly demand transparency regarding the environmental impact of their portfolios.</w:t>
      </w:r>
    </w:p>
    <w:p>
      <w:pPr>
        <w:pStyle w:val="BodyText"/>
      </w:pPr>
      <w:r>
        <w:t xml:space="preserve">Lastly, there is the challenge of maintaining sovereignty and relevance in a globalized world. As digital banks without physical branches expand across borders, traditional bankers in Belgium Brussels must justify their value proposition through superior advisory services and deep local market knowledge.</w:t>
      </w:r>
    </w:p>
    <w:bookmarkEnd w:id="26"/>
    <w:bookmarkStart w:id="27" w:name="v.-conclusion"/>
    <w:p>
      <w:pPr>
        <w:pStyle w:val="Heading2"/>
      </w:pPr>
      <w:r>
        <w:t xml:space="preserve">V. Conclusion</w:t>
      </w:r>
    </w:p>
    <w:p>
      <w:pPr>
        <w:pStyle w:val="FirstParagraph"/>
      </w:pPr>
      <w:r>
        <w:t xml:space="preserve">In conclusion, the role of the banker in Belgium Brussels is far more complex than that of a mere financial intermediary. It is a role that demands intellectual agility, ethical fortitude, and strategic foresight. Operating at the heart of Europe, these professionals act as critical nodes in the global financial network. They must balance local client needs with international regulatory demands and technological advancements.</w:t>
      </w:r>
    </w:p>
    <w:p>
      <w:pPr>
        <w:pStyle w:val="BodyText"/>
      </w:pPr>
      <w:r>
        <w:t xml:space="preserve">This Term Paper has highlighted that for bankers in Belgium Brussels, success is not defined solely by profit margins but by resilience, compliance, and the ability to adapt to a rapidly changing world. As Europe continues to evolve politically and economically, the banker will remain an essential guardian of financial stability and a catalyst for economic growth. The future of banking in this region lies in the hands of those who can effectively merge traditional wisdom with modern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Belgium Brussels</dc:title>
  <dc:creator/>
  <dc:language>en</dc:language>
  <cp:keywords/>
  <dcterms:created xsi:type="dcterms:W3CDTF">2026-07-29T19:17:10Z</dcterms:created>
  <dcterms:modified xsi:type="dcterms:W3CDTF">2026-07-29T19:17:10Z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