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Montreal</w:t>
      </w:r>
    </w:p>
    <w:bookmarkStart w:id="20" w:name="X517af95e2fd297a14e3b2f04e05cb6c4dc6c624"/>
    <w:p>
      <w:pPr>
        <w:pStyle w:val="Heading1"/>
      </w:pPr>
      <w:r>
        <w:t xml:space="preserve">The Evolving Role of the Banker in Canada Montreal</w:t>
      </w:r>
    </w:p>
    <w:p>
      <w:pPr>
        <w:pStyle w:val="FirstParagraph"/>
      </w:pPr>
      <w:r>
        <w:br/>
      </w:r>
      <w:r>
        <w:br/>
      </w:r>
      <w:r>
        <w:br/>
      </w:r>
      <w:r>
        <w:br/>
      </w:r>
      <w:r>
        <w:br/>
      </w:r>
    </w:p>
    <w:p>
      <w:pPr>
        <w:pStyle w:val="BodyText"/>
      </w:pPr>
      <w:r>
        <w:rPr>
          <w:bCs/>
          <w:b/>
        </w:rPr>
        <w:t xml:space="preserve">A Term Paper Submitted for Advanced Banking Studies</w:t>
      </w:r>
    </w:p>
    <w:p>
      <w:pPr>
        <w:pStyle w:val="BodyText"/>
      </w:pPr>
      <w:r>
        <w:br/>
      </w:r>
    </w:p>
    <w:p>
      <w:pPr>
        <w:pStyle w:val="BodyText"/>
      </w:pPr>
      <w:r>
        <w:rPr>
          <w:bCs/>
          <w:b/>
        </w:rPr>
        <w:t xml:space="preserve">Candidate Name: [Student Name]</w:t>
      </w:r>
    </w:p>
    <w:p>
      <w:pPr>
        <w:pStyle w:val="BodyText"/>
      </w:pPr>
      <w:r>
        <w:rPr>
          <w:bCs/>
          <w:b/>
        </w:rPr>
        <w:t xml:space="preserve">Date: October 2023</w:t>
      </w:r>
    </w:p>
    <w:bookmarkEnd w:id="20"/>
    <w:bookmarkStart w:id="21" w:name="i.-introduction"/>
    <w:p>
      <w:pPr>
        <w:pStyle w:val="Heading1"/>
      </w:pPr>
      <w:r>
        <w:t xml:space="preserve">I. Introduction</w:t>
      </w:r>
    </w:p>
    <w:p>
      <w:pPr>
        <w:pStyle w:val="FirstParagraph"/>
      </w:pPr>
      <w:r>
        <w:t xml:space="preserve">The financial landscape of Canada has long been characterized by stability, robust regulation, and a high level of trust among consumers. However, the specific context of</w:t>
      </w:r>
      <w:r>
        <w:t xml:space="preserve"> </w:t>
      </w:r>
      <w:r>
        <w:rPr>
          <w:bCs/>
          <w:b/>
        </w:rPr>
        <w:t xml:space="preserve">Canada Montreal</w:t>
      </w:r>
      <w:r>
        <w:t xml:space="preserve">, as a historic hub for French-Canadian commerce and international trade with Europe and Africa, introduces unique complexities to banking operations. At the center of this intricate ecosystem is the professional known as the</w:t>
      </w:r>
      <w:r>
        <w:t xml:space="preserve"> </w:t>
      </w:r>
      <w:r>
        <w:rPr>
          <w:bCs/>
          <w:b/>
        </w:rPr>
        <w:t xml:space="preserve">Banker</w:t>
      </w:r>
      <w:r>
        <w:t xml:space="preserve">. This term paper explores how traditional banking roles are being reshaped by technological disruption, changing regulatory frameworks, and a growing emphasis on sustainable finance within the dynamic environment of Montreal.</w:t>
      </w:r>
    </w:p>
    <w:bookmarkEnd w:id="21"/>
    <w:bookmarkStart w:id="22" w:name="Xdb76695cb733f12679729a426d3d8063c70ecc8"/>
    <w:p>
      <w:pPr>
        <w:pStyle w:val="Heading1"/>
      </w:pPr>
      <w:r>
        <w:t xml:space="preserve">II. The Historical Context: Banking in Canada Montreal</w:t>
      </w:r>
    </w:p>
    <w:p>
      <w:pPr>
        <w:pStyle w:val="FirstParagraph"/>
      </w:pPr>
      <w:r>
        <w:t xml:space="preserve">To understand the modern</w:t>
      </w:r>
      <w:r>
        <w:t xml:space="preserve"> </w:t>
      </w:r>
      <w:r>
        <w:rPr>
          <w:bCs/>
          <w:b/>
        </w:rPr>
        <w:t xml:space="preserve">Banker</w:t>
      </w:r>
      <w:r>
        <w:t xml:space="preserve">, one must first appreciate the historical weight carried by institutions based in</w:t>
      </w:r>
      <w:r>
        <w:t xml:space="preserve"> </w:t>
      </w:r>
      <w:r>
        <w:rPr>
          <w:bCs/>
          <w:b/>
        </w:rPr>
        <w:t xml:space="preserve">Canada Montreal</w:t>
      </w:r>
      <w:r>
        <w:t xml:space="preserve">. For over two centuries, this city has served as a gateway for capital flowing into French-speaking communities. The "Big Five" banks of Canada have their roots deeply embedded in Quebec's history, creating a banking culture that values long-term relationships and local community engagement. In the past, the</w:t>
      </w:r>
      <w:r>
        <w:t xml:space="preserve"> </w:t>
      </w:r>
      <w:r>
        <w:rPr>
          <w:bCs/>
          <w:b/>
        </w:rPr>
        <w:t xml:space="preserve">Banker</w:t>
      </w:r>
      <w:r>
        <w:t xml:space="preserve"> </w:t>
      </w:r>
      <w:r>
        <w:t xml:space="preserve">was primarily a gatekeeper of credit, relying on personal reputation and localized knowledge to assess risk.</w:t>
      </w:r>
    </w:p>
    <w:p>
      <w:pPr>
        <w:pStyle w:val="BodyText"/>
      </w:pPr>
      <w:r>
        <w:t xml:space="preserve">In Montreal specifically, this meant that bank branches were not merely transactional hubs but centers for social integration. The</w:t>
      </w:r>
      <w:r>
        <w:t xml:space="preserve"> </w:t>
      </w:r>
      <w:r>
        <w:rPr>
          <w:bCs/>
          <w:b/>
        </w:rPr>
        <w:t xml:space="preserve">Banker</w:t>
      </w:r>
      <w:r>
        <w:t xml:space="preserve"> </w:t>
      </w:r>
      <w:r>
        <w:t xml:space="preserve">played a pivotal role in supporting local entrepreneurs, real estate developers, and cultural institutions. This historical precedent established a baseline of service that modern professionals in the field must still honor, even as digital interfaces replace face-to-face interactions.</w:t>
      </w:r>
    </w:p>
    <w:bookmarkEnd w:id="22"/>
    <w:bookmarkStart w:id="23" w:name="X6919e835baf6f38af17af29035328b7a754d7fd"/>
    <w:p>
      <w:pPr>
        <w:pStyle w:val="Heading1"/>
      </w:pPr>
      <w:r>
        <w:t xml:space="preserve">III. Technological Disruption and the Digital</w:t>
      </w:r>
      <w:r>
        <w:t xml:space="preserve"> </w:t>
      </w:r>
      <w:r>
        <w:rPr>
          <w:bCs/>
          <w:b/>
        </w:rPr>
        <w:t xml:space="preserve">Banker</w:t>
      </w:r>
    </w:p>
    <w:p>
      <w:pPr>
        <w:pStyle w:val="FirstParagraph"/>
      </w:pPr>
      <w:r>
        <w:t xml:space="preserve">The advent of Fintech (Financial Technology) has fundamentally altered the job description of every</w:t>
      </w:r>
      <w:r>
        <w:t xml:space="preserve"> </w:t>
      </w:r>
      <w:r>
        <w:rPr>
          <w:bCs/>
          <w:b/>
        </w:rPr>
        <w:t xml:space="preserve">Banker</w:t>
      </w:r>
      <w:r>
        <w:t xml:space="preserve">. In</w:t>
      </w:r>
      <w:r>
        <w:t xml:space="preserve"> </w:t>
      </w:r>
      <w:r>
        <w:rPr>
          <w:bCs/>
          <w:b/>
        </w:rPr>
        <w:t xml:space="preserve">Canada Montreal</w:t>
      </w:r>
      <w:r>
        <w:t xml:space="preserve">, where innovation hubs are thriving alongside traditional finance, the pressure to digitize is immense. The modern</w:t>
      </w:r>
      <w:r>
        <w:t xml:space="preserve"> </w:t>
      </w:r>
      <w:r>
        <w:rPr>
          <w:bCs/>
          <w:b/>
        </w:rPr>
        <w:t xml:space="preserve">Banker</w:t>
      </w:r>
      <w:r>
        <w:t xml:space="preserve"> </w:t>
      </w:r>
      <w:r>
        <w:t xml:space="preserve">can no longer rely solely on transactional efficiency; they must act as digital consultants. Mobile banking applications, algorithmic trading platforms, and blockchain technologies have reduced the need for manual processing.</w:t>
      </w:r>
    </w:p>
    <w:p>
      <w:pPr>
        <w:pStyle w:val="BodyText"/>
      </w:pPr>
      <w:r>
        <w:t xml:space="preserve">This shift has liberated the</w:t>
      </w:r>
      <w:r>
        <w:t xml:space="preserve"> </w:t>
      </w:r>
      <w:r>
        <w:rPr>
          <w:bCs/>
          <w:b/>
        </w:rPr>
        <w:t xml:space="preserve">Banker</w:t>
      </w:r>
      <w:r>
        <w:t xml:space="preserve"> </w:t>
      </w:r>
      <w:r>
        <w:t xml:space="preserve">from administrative burdens but placed a premium on soft skills. In Montreal’s competitive market, where tech startups are numerous, traditional banks compete by offering personalized advisory services that algorithms cannot replicate. The</w:t>
      </w:r>
      <w:r>
        <w:t xml:space="preserve"> </w:t>
      </w:r>
      <w:r>
        <w:rPr>
          <w:bCs/>
          <w:b/>
        </w:rPr>
        <w:t xml:space="preserve">Banker</w:t>
      </w:r>
      <w:r>
        <w:t xml:space="preserve">, therefore, serves as the human bridge between complex financial products and client understanding. They must interpret data-driven insights for clients who may not possess technical literacy.</w:t>
      </w:r>
    </w:p>
    <w:bookmarkEnd w:id="23"/>
    <w:bookmarkStart w:id="24" w:name="Xfb2868c6345635cd87b3f399b2c9ebf6bfa1eb0"/>
    <w:p>
      <w:pPr>
        <w:pStyle w:val="Heading1"/>
      </w:pPr>
      <w:r>
        <w:t xml:space="preserve">IV. Regulatory Complexity in the Canadian Context</w:t>
      </w:r>
    </w:p>
    <w:p>
      <w:pPr>
        <w:pStyle w:val="FirstParagraph"/>
      </w:pPr>
      <w:r>
        <w:t xml:space="preserve">Banking in Canada is one of the most highly regulated industries globally, a factor that adds significant weight to the duties of every</w:t>
      </w:r>
      <w:r>
        <w:t xml:space="preserve"> </w:t>
      </w:r>
      <w:r>
        <w:rPr>
          <w:bCs/>
          <w:b/>
        </w:rPr>
        <w:t xml:space="preserve">Banker</w:t>
      </w:r>
      <w:r>
        <w:t xml:space="preserve">. In</w:t>
      </w:r>
      <w:r>
        <w:t xml:space="preserve"> </w:t>
      </w:r>
      <w:r>
        <w:rPr>
          <w:bCs/>
          <w:b/>
        </w:rPr>
        <w:t xml:space="preserve">Canada Montreal</w:t>
      </w:r>
      <w:r>
        <w:t xml:space="preserve">, professionals must navigate not only federal laws such as the Bank Act but also provincial regulations specific to Quebec. These include civil law distinctions that differ significantly from common law jurisdictions in other parts of Canada.</w:t>
      </w:r>
    </w:p>
    <w:p>
      <w:pPr>
        <w:pStyle w:val="BodyText"/>
      </w:pPr>
      <w:r>
        <w:t xml:space="preserve">The role of the</w:t>
      </w:r>
      <w:r>
        <w:t xml:space="preserve"> </w:t>
      </w:r>
      <w:r>
        <w:rPr>
          <w:bCs/>
          <w:b/>
        </w:rPr>
        <w:t xml:space="preserve">Banker</w:t>
      </w:r>
      <w:r>
        <w:t xml:space="preserve"> </w:t>
      </w:r>
      <w:r>
        <w:t xml:space="preserve">has expanded to include rigorous compliance responsibilities. Anti-Money Laundering (AML) protocols, Know Your Customer (KYC) requirements, and consumer protection standards demand constant vigilance. A misstep by a</w:t>
      </w:r>
      <w:r>
        <w:t xml:space="preserve"> </w:t>
      </w:r>
      <w:r>
        <w:rPr>
          <w:bCs/>
          <w:b/>
        </w:rPr>
        <w:t xml:space="preserve">Banker</w:t>
      </w:r>
      <w:r>
        <w:t xml:space="preserve"> </w:t>
      </w:r>
      <w:r>
        <w:t xml:space="preserve">in Montreal does not just result in individual penalty; it can tarnish the reputation of major national institutions that call the city home. Consequently, ongoing education and specialized training are mandatory for any professional aspiring to work as a banker in this region.</w:t>
      </w:r>
    </w:p>
    <w:bookmarkEnd w:id="24"/>
    <w:bookmarkStart w:id="25" w:name="v.-sustainable-finance-and-green-banking"/>
    <w:p>
      <w:pPr>
        <w:pStyle w:val="Heading1"/>
      </w:pPr>
      <w:r>
        <w:t xml:space="preserve">V. Sustainable Finance and Green Banking</w:t>
      </w:r>
    </w:p>
    <w:p>
      <w:pPr>
        <w:pStyle w:val="FirstParagraph"/>
      </w:pPr>
      <w:r>
        <w:t xml:space="preserve">A defining characteristic of modern banking in</w:t>
      </w:r>
      <w:r>
        <w:t xml:space="preserve"> </w:t>
      </w:r>
      <w:r>
        <w:rPr>
          <w:bCs/>
          <w:b/>
        </w:rPr>
        <w:t xml:space="preserve">Canada Montreal</w:t>
      </w:r>
      <w:r>
        <w:t xml:space="preserve"> </w:t>
      </w:r>
      <w:r>
        <w:t xml:space="preserve">is the shift toward Environmental, Social, and Governance (ESG) criteria. Montreal has positioned itself as a global leader in sustainable finance, hosting significant international conferences on climate change and green investment.</w:t>
      </w:r>
    </w:p>
    <w:p>
      <w:pPr>
        <w:pStyle w:val="BodyText"/>
      </w:pPr>
      <w:r>
        <w:t xml:space="preserve">This trend necessitates a transformation in the mindset of the</w:t>
      </w:r>
      <w:r>
        <w:t xml:space="preserve"> </w:t>
      </w:r>
      <w:r>
        <w:rPr>
          <w:bCs/>
          <w:b/>
        </w:rPr>
        <w:t xml:space="preserve">Banker</w:t>
      </w:r>
      <w:r>
        <w:t xml:space="preserve">. Lending decisions are no longer based purely on creditworthiness but also on environmental impact assessments. A</w:t>
      </w:r>
      <w:r>
        <w:t xml:space="preserve"> </w:t>
      </w:r>
      <w:r>
        <w:rPr>
          <w:bCs/>
          <w:b/>
        </w:rPr>
        <w:t xml:space="preserve">Banker</w:t>
      </w:r>
      <w:r>
        <w:t xml:space="preserve"> </w:t>
      </w:r>
      <w:r>
        <w:t xml:space="preserve">in Montreal today must evaluate how loans for industrial projects will affect carbon emissions or local ecosystems. This evolution requires new expertise and a broader ethical framework, marking the transition from mere profit maximization to responsible wealth stewardship.</w:t>
      </w:r>
    </w:p>
    <w:bookmarkEnd w:id="25"/>
    <w:bookmarkStart w:id="26" w:name="vi.-conclusion"/>
    <w:p>
      <w:pPr>
        <w:pStyle w:val="Heading1"/>
      </w:pPr>
      <w:r>
        <w:t xml:space="preserve">VI. Conclusion</w:t>
      </w:r>
    </w:p>
    <w:p>
      <w:pPr>
        <w:pStyle w:val="FirstParagraph"/>
      </w:pPr>
      <w:r>
        <w:t xml:space="preserve">The role of the</w:t>
      </w:r>
      <w:r>
        <w:t xml:space="preserve"> </w:t>
      </w:r>
      <w:r>
        <w:rPr>
          <w:bCs/>
          <w:b/>
        </w:rPr>
        <w:t xml:space="preserve">Banker</w:t>
      </w:r>
      <w:r>
        <w:t xml:space="preserve"> </w:t>
      </w:r>
      <w:r>
        <w:t xml:space="preserve">in</w:t>
      </w:r>
      <w:r>
        <w:t xml:space="preserve"> </w:t>
      </w:r>
      <w:r>
        <w:rPr>
          <w:bCs/>
          <w:b/>
        </w:rPr>
        <w:t xml:space="preserve">Canada Montreal</w:t>
      </w:r>
    </w:p>
    <w:p>
      <w:pPr>
        <w:pStyle w:val="BodyText"/>
      </w:pPr>
      <w:r>
        <w:t xml:space="preserve">In conclusion, professionals operating in this sector must be adaptable hybrids: part traditional counselor, part tech-savvy analyst, and part ethical guardian. As</w:t>
      </w:r>
      <w:r>
        <w:t xml:space="preserve"> </w:t>
      </w:r>
      <w:r>
        <w:rPr>
          <w:bCs/>
          <w:b/>
        </w:rPr>
        <w:t xml:space="preserve">Canada Montreal</w:t>
      </w:r>
    </w:p>
    <w:p>
      <w:pPr>
        <w:pStyle w:val="BodyText"/>
      </w:pPr>
      <w:r>
        <w:t xml:space="preserve">Banker, therefore, remains an indispensable pillar of the city’s economic infrastructure.</w:t>
      </w:r>
    </w:p>
    <w:bookmarkEnd w:id="26"/>
    <w:bookmarkStart w:id="27" w:name="vii.-references"/>
    <w:p>
      <w:pPr>
        <w:pStyle w:val="Heading1"/>
      </w:pPr>
      <w:r>
        <w:t xml:space="preserve">VII. References</w:t>
      </w:r>
    </w:p>
    <w:p>
      <w:pPr>
        <w:numPr>
          <w:ilvl w:val="0"/>
          <w:numId w:val="1001"/>
        </w:numPr>
        <w:pStyle w:val="Compact"/>
      </w:pPr>
      <w:r>
        <w:rPr>
          <w:iCs/>
          <w:i/>
        </w:rPr>
        <w:t xml:space="preserve">The Bank Act (Canada)</w:t>
      </w:r>
    </w:p>
    <w:p>
      <w:pPr>
        <w:numPr>
          <w:ilvl w:val="0"/>
          <w:numId w:val="1001"/>
        </w:numPr>
        <w:pStyle w:val="Compact"/>
      </w:pPr>
      <w:r>
        <w:rPr>
          <w:iCs/>
          <w:i/>
        </w:rPr>
        <w:t xml:space="preserve">Civil Code of Quebec: Financial and Commercial Obligations</w:t>
      </w:r>
    </w:p>
    <w:p>
      <w:pPr>
        <w:numPr>
          <w:ilvl w:val="0"/>
          <w:numId w:val="1001"/>
        </w:numPr>
        <w:pStyle w:val="Compact"/>
      </w:pPr>
      <w:r>
        <w:t xml:space="preserve">Schooling, C. (2020). "The History of Banking in Montreal." Journal of Canadian Economic History.</w:t>
      </w:r>
    </w:p>
    <w:p>
      <w:pPr>
        <w:numPr>
          <w:ilvl w:val="0"/>
          <w:numId w:val="1001"/>
        </w:numPr>
        <w:pStyle w:val="Compact"/>
      </w:pPr>
      <w:r>
        <w:t xml:space="preserve">Fintech Canada Report (2023): "Innovation Hubs in Greater Montreal."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Canada Montreal</dc:title>
  <dc:creator/>
  <dc:language>en</dc:language>
  <cp:keywords/>
  <dcterms:created xsi:type="dcterms:W3CDTF">2026-07-30T03:59:24Z</dcterms:created>
  <dcterms:modified xsi:type="dcterms:W3CDTF">2026-07-30T03:59:24Z</dcterms:modified>
</cp:coreProperties>
</file>

<file path=docProps/custom.xml><?xml version="1.0" encoding="utf-8"?>
<Properties xmlns="http://schemas.openxmlformats.org/officeDocument/2006/custom-properties" xmlns:vt="http://schemas.openxmlformats.org/officeDocument/2006/docPropsVTypes"/>
</file>