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Navigating</w:t>
      </w:r>
      <w:r>
        <w:t xml:space="preserve"> </w:t>
      </w:r>
      <w:r>
        <w:t xml:space="preserve">the</w:t>
      </w:r>
      <w:r>
        <w:t xml:space="preserve"> </w:t>
      </w:r>
      <w:r>
        <w:t xml:space="preserve">Complex</w:t>
      </w:r>
      <w:r>
        <w:t xml:space="preserve"> </w:t>
      </w:r>
      <w:r>
        <w:t xml:space="preserve">Financial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28" w:name="X34a8abe86c862b69e1b9717efcacb4b75c059da"/>
    <w:p>
      <w:pPr>
        <w:pStyle w:val="Heading1"/>
      </w:pPr>
      <w:r>
        <w:t xml:space="preserve">The Modern Banker: Navigating the Complex Financial Ecosystem of China, Beijing</w:t>
      </w:r>
    </w:p>
    <w:p>
      <w:pPr>
        <w:pStyle w:val="FirstParagraph"/>
      </w:pPr>
      <w:r>
        <w:rPr>
          <w:bCs/>
          <w:b/>
        </w:rPr>
        <w:t xml:space="preserve">A Term Paper on Financial Strategy and Regulatory Compliance</w:t>
      </w:r>
    </w:p>
    <w:p>
      <w:pPr>
        <w:pStyle w:val="BodyText"/>
      </w:pPr>
      <w:r>
        <w:rPr>
          <w:iCs/>
          <w:i/>
        </w:rPr>
        <w:t xml:space="preserve">Date: October 26, 2023</w:t>
      </w:r>
    </w:p>
    <w:bookmarkStart w:id="20" w:name="abstract"/>
    <w:p>
      <w:pPr>
        <w:pStyle w:val="Heading3"/>
      </w:pPr>
      <w:r>
        <w:t xml:space="preserve">Abstract</w:t>
      </w:r>
    </w:p>
    <w:p>
      <w:pPr>
        <w:pStyle w:val="FirstParagraph"/>
      </w:pPr>
      <w:r>
        <w:t xml:space="preserve">This term paper explores the evolving role of the modern banker within the specific context of China, Beijing. As the capital city serves as the epicenter of China's financial policy and regulation, understanding its unique market dynamics is crucial for global financial professionals. This document examines regulatory frameworks, digital transformation, geopolitical influences on banking operations in Beijing, and strategic imperatives for bankers aiming to succeed in this high-stakes environment.</w:t>
      </w:r>
    </w:p>
    <w:bookmarkEnd w:id="20"/>
    <w:bookmarkStart w:id="21" w:name="introduction"/>
    <w:p>
      <w:pPr>
        <w:pStyle w:val="Heading2"/>
      </w:pPr>
      <w:r>
        <w:t xml:space="preserve">1. Introduction</w:t>
      </w:r>
    </w:p>
    <w:p>
      <w:pPr>
        <w:pStyle w:val="FirstParagraph"/>
      </w:pPr>
      <w:r>
        <w:t xml:space="preserve">The profession of the banker has undergone a seismic shift over the last two decades. In no place is this transformation more profound than in China, Beijing, where traditional banking models collide with rapid technological innovation and stringent state-directed policy mandates. For any professional aspiring to become a successful banker in this region, it is imperative to understand that one does not merely manage capital; one navigates a complex web of political economy, regulatory oversight, and digital disruption. This term paper aims to dissect the multifaceted role of the banker in Beijing’s financial sector, highlighting the critical balance between commercial viability and national strategic interests.</w:t>
      </w:r>
    </w:p>
    <w:bookmarkEnd w:id="21"/>
    <w:bookmarkStart w:id="22" w:name="X6752a96d7a11e3255b625c449c5a4fa26833c3a"/>
    <w:p>
      <w:pPr>
        <w:pStyle w:val="Heading2"/>
      </w:pPr>
      <w:r>
        <w:t xml:space="preserve">2. The Regulatory Landscape: A Banker’s Primary Constraint</w:t>
      </w:r>
    </w:p>
    <w:p>
      <w:pPr>
        <w:pStyle w:val="FirstParagraph"/>
      </w:pPr>
      <w:r>
        <w:t xml:space="preserve">In China, Beijing is not just a geographic location; it is the seat of power for central financial regulators, including the People's Bank of China (PBOC) and the National Financial Regulatory Administration (NFRA). For a banker operating in this jurisdiction, regulatory compliance is not merely a legal hurdle but the foundational pillar of business strategy. Unlike Western markets where market forces often dictate banking practices with lighter touch oversight, bankers in China must align their operational models with the Five-Year Plans and macroeconomic goals set by the central government.</w:t>
      </w:r>
    </w:p>
    <w:p>
      <w:pPr>
        <w:pStyle w:val="BodyText"/>
      </w:pPr>
      <w:r>
        <w:t xml:space="preserve">A banker in Beijing must possess an acute sensitivity to policy shifts. For instance, recent crackdowns on speculative lending in real estate or unsecured consumer debt demonstrate how quickly regulatory winds can change. The modern banker must therefore engage in proactive risk management that anticipates regulatory intent rather than merely reacting to existing laws. This requires a deep understanding of the political hierarchy and the ability to interpret subtle signals from Beijing’s policy announcements.</w:t>
      </w:r>
    </w:p>
    <w:bookmarkEnd w:id="22"/>
    <w:bookmarkStart w:id="23" w:name="Xada8c895627116f050e6580d013ebdcfdfef29c"/>
    <w:p>
      <w:pPr>
        <w:pStyle w:val="Heading2"/>
      </w:pPr>
      <w:r>
        <w:t xml:space="preserve">3. Digital Transformation: The Rise of Fintech and CBDC</w:t>
      </w:r>
    </w:p>
    <w:p>
      <w:pPr>
        <w:pStyle w:val="FirstParagraph"/>
      </w:pPr>
      <w:r>
        <w:t xml:space="preserve">No discussion of banking in China, Beijing, is complete without addressing its leadership in financial technology. While many global bankers are still catching up to the digital age, institutions in Beijing have leapfrogged traditional credit card systems into a cashless society dominated by mobile payments. The presence of giants like Alipay and WeChat Pay has forced traditional bankers to rethink their customer acquisition and retention strategies.</w:t>
      </w:r>
    </w:p>
    <w:p>
      <w:pPr>
        <w:pStyle w:val="BodyText"/>
      </w:pPr>
      <w:r>
        <w:t xml:space="preserve">Furthermore, China is at the forefront of Central Bank Digital Currency (CBDC) implementation through the Digital Currency Electronic Payment (DCEP) initiative. For a banker in Beijing, this represents both a challenge and an opportunity. The role of the banker is shifting from being solely a custodian of funds to becoming an integrator of digital financial services. Bankers must now possess technical literacy to integrate blockchain solutions, AI-driven credit scoring models, and API-based open banking platforms. The traditional branch network in Beijing is rapidly transforming into hybrid hubs that offer high-touch advisory services while routine transactions are handled through seamless digital interfaces.</w:t>
      </w:r>
    </w:p>
    <w:bookmarkEnd w:id="23"/>
    <w:bookmarkStart w:id="24" w:name="geopolitics-and-cross-border-banking"/>
    <w:p>
      <w:pPr>
        <w:pStyle w:val="Heading2"/>
      </w:pPr>
      <w:r>
        <w:t xml:space="preserve">4. Geopolitics and Cross-Border Banking</w:t>
      </w:r>
    </w:p>
    <w:p>
      <w:pPr>
        <w:pStyle w:val="FirstParagraph"/>
      </w:pPr>
      <w:r>
        <w:t xml:space="preserve">As a banker working in China, Beijing, one must also navigate the intricate landscape of international relations. The city serves as the gateway for foreign financial institutions entering China and for Chinese banks expanding globally. However, increasing geopolitical tensions have introduced new layers of complexity regarding sanctions compliance, data sovereignty, and cross-border capital flows.</w:t>
      </w:r>
    </w:p>
    <w:p>
      <w:pPr>
        <w:pStyle w:val="BodyText"/>
      </w:pPr>
      <w:r>
        <w:t xml:space="preserve">Bankers in this environment must act as strategic diplomats as much as financial analysts. They must ensure that their institutions adhere to international anti-money laundering (AML) standards while simultaneously complying with China’s Data Security Law and Personal Information Protection Law (PIPL). This dual compliance requirement creates a delicate balancing act. For example, data generated by banking customers in Beijing cannot simply be transferred overseas without rigorous vetting, impacting how multinational bankers structure their operational workflows.</w:t>
      </w:r>
    </w:p>
    <w:bookmarkEnd w:id="24"/>
    <w:bookmarkStart w:id="25" w:name="esg-and-sustainable-finance"/>
    <w:p>
      <w:pPr>
        <w:pStyle w:val="Heading2"/>
      </w:pPr>
      <w:r>
        <w:t xml:space="preserve">5. ESG and Sustainable Finance</w:t>
      </w:r>
    </w:p>
    <w:p>
      <w:pPr>
        <w:pStyle w:val="FirstParagraph"/>
      </w:pPr>
      <w:r>
        <w:t xml:space="preserve">A growing mandate for the modern banker in China, Beijing is the promotion of Environmental, Social, and Governance (ESG) principles. As China has committed to ambitious carbon neutrality goals by 2060, financial institutions are under pressure to green their loan portfolios. Bankers are now expected to evaluate not just the financial creditworthiness of a borrower but also their environmental impact.</w:t>
      </w:r>
    </w:p>
    <w:p>
      <w:pPr>
        <w:pStyle w:val="BodyText"/>
      </w:pPr>
      <w:r>
        <w:t xml:space="preserve">This shift requires bankers to develop new assessment metrics and risk models. In Beijing, this is particularly relevant given the concentration of heavy industry and manufacturing sectors that require significant financing for transition technologies. A banker who can effectively structure green bonds or sustainability-linked loans will find themselves at a distinct competitive advantage. The role has thus expanded to include consultancy on sustainable development, positioning the banker as a partner in national ecological goals.</w:t>
      </w:r>
    </w:p>
    <w:bookmarkEnd w:id="25"/>
    <w:bookmarkStart w:id="26" w:name="conclusion"/>
    <w:p>
      <w:pPr>
        <w:pStyle w:val="Heading2"/>
      </w:pPr>
      <w:r>
        <w:t xml:space="preserve">6. Conclusion</w:t>
      </w:r>
    </w:p>
    <w:p>
      <w:pPr>
        <w:pStyle w:val="FirstParagraph"/>
      </w:pPr>
      <w:r>
        <w:t xml:space="preserve">In conclusion, the role of the banker in China, Beijing is far more complex than traditional definitions suggest. It is a role that demands a hybrid skill set: deep regulatory knowledge, technological fluency, geopolitical awareness, and an understanding of sustainable development goals. The banker in this context acts as a bridge between state policy and market execution.</w:t>
      </w:r>
    </w:p>
    <w:p>
      <w:pPr>
        <w:pStyle w:val="BodyText"/>
      </w:pPr>
      <w:r>
        <w:t xml:space="preserve">Success in this arena requires more than just financial acumen; it requires cultural intelligence and strategic foresight. As Beijing continues to solidify its position as a global financial hub, the bankers who thrive will be those who can adapt to rapid digital changes while maintaining strict adherence to regulatory frameworks. For students and professionals alike, understanding the unique dynamics of banking in this region is not just an academic exercise but a professional necessity in today’s interconnected global economy.</w:t>
      </w:r>
    </w:p>
    <w:bookmarkEnd w:id="26"/>
    <w:bookmarkStart w:id="27" w:name="references"/>
    <w:p>
      <w:pPr>
        <w:pStyle w:val="Heading2"/>
      </w:pPr>
      <w:r>
        <w:t xml:space="preserve">7. References</w:t>
      </w:r>
    </w:p>
    <w:p>
      <w:pPr>
        <w:numPr>
          <w:ilvl w:val="0"/>
          <w:numId w:val="1001"/>
        </w:numPr>
        <w:pStyle w:val="Compact"/>
      </w:pPr>
      <w:r>
        <w:t xml:space="preserve">- People's Bank of China. (2023). Annual Report on Financial Stability.</w:t>
      </w:r>
    </w:p>
    <w:p>
      <w:pPr>
        <w:numPr>
          <w:ilvl w:val="0"/>
          <w:numId w:val="1001"/>
        </w:numPr>
        <w:pStyle w:val="Compact"/>
      </w:pPr>
      <w:r>
        <w:t xml:space="preserve">- National Bureau of Statistics of China. (2023). Statistical Data on Beijing Financial Sector.</w:t>
      </w:r>
    </w:p>
    <w:p>
      <w:pPr>
        <w:numPr>
          <w:ilvl w:val="0"/>
          <w:numId w:val="1001"/>
        </w:numPr>
        <w:pStyle w:val="Compact"/>
      </w:pPr>
      <w:r>
        <w:t xml:space="preserve">- International Monetary Fund. (2024). Article IV Consultation with the People's Republic of China.</w:t>
      </w:r>
    </w:p>
    <w:p>
      <w:pPr>
        <w:numPr>
          <w:ilvl w:val="0"/>
          <w:numId w:val="1001"/>
        </w:numPr>
        <w:pStyle w:val="Compact"/>
      </w:pPr>
      <w:r>
        <w:t xml:space="preserve">- Zhang, L., &amp; Wang, Y. (2023). Digital Currency and the Future of Banking in East Asia. Journal of Financial Regulation,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Navigating the Complex Financial Ecosystem of China, Beijing</dc:title>
  <dc:creator/>
  <dc:language>en</dc:language>
  <cp:keywords/>
  <dcterms:created xsi:type="dcterms:W3CDTF">2026-07-29T15:02:32Z</dcterms:created>
  <dcterms:modified xsi:type="dcterms:W3CDTF">2026-07-29T15:02:32Z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