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China</w:t>
      </w:r>
      <w:r>
        <w:t xml:space="preserve"> </w:t>
      </w:r>
      <w:r>
        <w:t xml:space="preserve">Guangzhou</w:t>
      </w:r>
    </w:p>
    <w:bookmarkStart w:id="27" w:name="X5e176125d2c242ddb80cfaf30bd58115f030560"/>
    <w:p>
      <w:pPr>
        <w:pStyle w:val="Heading1"/>
      </w:pPr>
      <w:r>
        <w:t xml:space="preserve">The Evolving Role of the Banker in China Guangzhou</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International Finance and Banking Systems</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The financial landscape of the People's Republic of China is undergoing a profound transformation, driven by rapid technological advancement, regulatory shifts, and global economic integration. At the heart of this transformation lies the traditional yet evolving figure known as the</w:t>
      </w:r>
      <w:r>
        <w:t xml:space="preserve"> </w:t>
      </w:r>
      <w:r>
        <w:rPr>
          <w:bCs/>
          <w:b/>
        </w:rPr>
        <w:t xml:space="preserve">Banker</w:t>
      </w:r>
      <w:r>
        <w:t xml:space="preserve">. This term paper seeks to analyze the multifaceted role of the modern banker within one of China’s most dynamic economic hubs: China Guangzhou. As a historic trade center and a key node in China’s Pearl River Delta region, Guangzhou presents a unique case study for understanding how banking practices are adapting to local demands while adhering to national strategies such as the Greater Bay Area initiative. The intersection of traditional Chinese commercial values with cutting-edge fintech innovations creates a complex environment where the identity of the</w:t>
      </w:r>
      <w:r>
        <w:t xml:space="preserve"> </w:t>
      </w:r>
      <w:r>
        <w:rPr>
          <w:bCs/>
          <w:b/>
        </w:rPr>
        <w:t xml:space="preserve">Banker</w:t>
      </w:r>
      <w:r>
        <w:t xml:space="preserve"> </w:t>
      </w:r>
      <w:r>
        <w:t xml:space="preserve">is being redefined.</w:t>
      </w:r>
    </w:p>
    <w:bookmarkEnd w:id="20"/>
    <w:bookmarkStart w:id="21" w:name="X3ca127cbb25b425c9b1bf9c91dfb0fbbde50d93"/>
    <w:p>
      <w:pPr>
        <w:pStyle w:val="Heading2"/>
      </w:pPr>
      <w:r>
        <w:t xml:space="preserve">II. Historical Context and Economic Significance of Guangzhou</w:t>
      </w:r>
    </w:p>
    <w:p>
      <w:pPr>
        <w:pStyle w:val="FirstParagraph"/>
      </w:pPr>
      <w:r>
        <w:t xml:space="preserve">To understand the current position of the banker, one must first appreciate the historical weight of China Guangzhou. For centuries, Guangzhou has served as China’s primary gateway to the world, most notably during the Canton System era. Today, it remains a critical manufacturing and trade hub. The city’s economy is characterized by a robust private sector complemented by state-owned enterprises. Consequently, banking in this region is not merely about capital storage; it is about facilitating complex supply chains, cross-border trade settlements, and supporting small-to-medium enterprises (SMEs). In this context, the</w:t>
      </w:r>
      <w:r>
        <w:t xml:space="preserve"> </w:t>
      </w:r>
      <w:r>
        <w:rPr>
          <w:bCs/>
          <w:b/>
        </w:rPr>
        <w:t xml:space="preserve">Banker</w:t>
      </w:r>
      <w:r>
        <w:t xml:space="preserve"> </w:t>
      </w:r>
      <w:r>
        <w:t xml:space="preserve">acts as a crucial intermediary between global markets and local production capabilities. The sheer volume of transactions in China Guangzhou necessitates a banking infrastructure that is both resilient and highly efficient.</w:t>
      </w:r>
    </w:p>
    <w:bookmarkEnd w:id="21"/>
    <w:bookmarkStart w:id="22" w:name="X5da4aa39f23eb2af91740b29806bdfa22011965"/>
    <w:p>
      <w:pPr>
        <w:pStyle w:val="Heading2"/>
      </w:pPr>
      <w:r>
        <w:t xml:space="preserve">III. Digital Transformation and the Fintech Revolution</w:t>
      </w:r>
    </w:p>
    <w:p>
      <w:pPr>
        <w:pStyle w:val="FirstParagraph"/>
      </w:pPr>
      <w:r>
        <w:t xml:space="preserve">The most significant challenge facing the modern banker in China Guangzhou is digitalization. Unlike many Western markets where fintech emerged from outside traditional banking, in China, banks themselves have been forced to lead or aggressively partner with tech giants like Tencent and Alibaba. In Guangzhou, the adoption of digital payments, blockchain for trade finance, and AI-driven credit scoring has become standard practice. The contemporary</w:t>
      </w:r>
      <w:r>
        <w:t xml:space="preserve"> </w:t>
      </w:r>
      <w:r>
        <w:rPr>
          <w:bCs/>
          <w:b/>
        </w:rPr>
        <w:t xml:space="preserve">Banker</w:t>
      </w:r>
      <w:r>
        <w:t xml:space="preserve"> </w:t>
      </w:r>
      <w:r>
        <w:t xml:space="preserve">must possess not only financial literacy but also a deep understanding of data analytics and cybersecurity. For instance, banks in China Guangzhou are increasingly utilizing big data to assess the creditworthiness of SMEs that lack traditional collateral. This shift requires bankers to move away from relationship-based lending toward algorithmic decision-making, fundamentally altering their skill sets and daily operations.</w:t>
      </w:r>
    </w:p>
    <w:bookmarkEnd w:id="22"/>
    <w:bookmarkStart w:id="23" w:name="X0f4dbb74537672c2a5774fb5af232e0838c4d91"/>
    <w:p>
      <w:pPr>
        <w:pStyle w:val="Heading2"/>
      </w:pPr>
      <w:r>
        <w:t xml:space="preserve">IV. Regulatory Compliance and Risk Management</w:t>
      </w:r>
    </w:p>
    <w:p>
      <w:pPr>
        <w:pStyle w:val="FirstParagraph"/>
      </w:pPr>
      <w:r>
        <w:t xml:space="preserve">Navigating the regulatory environment in China Guangzhou requires a high degree of sophistication. The central government’s push for financial stability has led to stricter compliance requirements regarding anti-money laundering (AML), know-your-customer (KYC) protocols, and capital adequacy ratios. For the</w:t>
      </w:r>
      <w:r>
        <w:t xml:space="preserve"> </w:t>
      </w:r>
      <w:r>
        <w:rPr>
          <w:bCs/>
          <w:b/>
        </w:rPr>
        <w:t xml:space="preserve">Banker</w:t>
      </w:r>
      <w:r>
        <w:t xml:space="preserve">, this means that risk management is no longer just a back-office function but a core strategic priority. In Guangzhou, where cross-border capital flows are frequent due to its export-oriented economy, bankers must ensure strict adherence to both local regulations and international standards set by bodies like the Financial Action Task Force (FATF). Failure to comply can result in severe penalties and reputational damage. Therefore, the modern banker must be a vigilant guardian of regulatory integrity, balancing business development with rigorous compliance oversight.</w:t>
      </w:r>
    </w:p>
    <w:bookmarkEnd w:id="23"/>
    <w:bookmarkStart w:id="24" w:name="Xcd6b4b531cfb65fdcfaa9fb506f4afeccc9cc9b"/>
    <w:p>
      <w:pPr>
        <w:pStyle w:val="Heading2"/>
      </w:pPr>
      <w:r>
        <w:t xml:space="preserve">V. Green Finance and Sustainable Development</w:t>
      </w:r>
    </w:p>
    <w:p>
      <w:pPr>
        <w:pStyle w:val="FirstParagraph"/>
      </w:pPr>
      <w:r>
        <w:t xml:space="preserve">A growing priority for banks in China Guangzhou is the integration of Environmental, Social, and Governance (ESG) criteria into their lending practices. Aligning with China’s national goals to peak carbon emissions by 2030 and achieve carbon neutrality by 2060, local banks are developing green finance products. This includes green bonds, sustainability-linked loans, and carbon trading services. The role of the</w:t>
      </w:r>
      <w:r>
        <w:t xml:space="preserve"> </w:t>
      </w:r>
      <w:r>
        <w:rPr>
          <w:bCs/>
          <w:b/>
        </w:rPr>
        <w:t xml:space="preserve">Banker</w:t>
      </w:r>
      <w:r>
        <w:t xml:space="preserve"> </w:t>
      </w:r>
      <w:r>
        <w:t xml:space="preserve">is expanding to include advisory services on sustainability transition for industrial clients in Guangzhou’s manufacturing sector. By financing eco-friendly technologies and renewable energy projects within China Guangzhou, bankers are playing a pivotal role in shaping the city’s sustainable future. This shift requires bankers to evaluate non-financial risks and opportunities, adding a new dimension to their analytical frameworks.</w:t>
      </w:r>
    </w:p>
    <w:bookmarkEnd w:id="24"/>
    <w:bookmarkStart w:id="25" w:name="Xf6eac3bfdcc5f652e34925b47cfabc27c48e730"/>
    <w:p>
      <w:pPr>
        <w:pStyle w:val="Heading2"/>
      </w:pPr>
      <w:r>
        <w:t xml:space="preserve">VI. Cross-Border Integration and the Greater Bay Area</w:t>
      </w:r>
    </w:p>
    <w:p>
      <w:pPr>
        <w:pStyle w:val="FirstParagraph"/>
      </w:pPr>
      <w:r>
        <w:t xml:space="preserve">The integration of Hong Kong, Macau, and nine cities in Guangdong Province into the Greater Bay Area (GBA) presents unique opportunities for bankers in China Guangzhou. The</w:t>
      </w:r>
      <w:r>
        <w:t xml:space="preserve"> </w:t>
      </w:r>
      <w:r>
        <w:rPr>
          <w:bCs/>
          <w:b/>
        </w:rPr>
        <w:t xml:space="preserve">Banker</w:t>
      </w:r>
      <w:r>
        <w:t xml:space="preserve"> </w:t>
      </w:r>
      <w:r>
        <w:t xml:space="preserve">here serves as a bridge between different legal systems, currencies, and financial markets. Facilitating seamless cross-border payments and investment vehicles is essential for fostering economic cohesion within the GBA. For example, connecting the high-growth tech sectors of Shenzhen with the manufacturing base of Guangzhou requires sophisticated banking solutions that can handle currency fluctuations and regulatory differences across jurisdictions. The banker must therefore be culturally competent and legally savvy, capable of navigating the complexities of a multi-jurisdictional financial zone.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Banker</w:t>
      </w:r>
      <w:r>
        <w:t xml:space="preserve"> </w:t>
      </w:r>
      <w:r>
        <w:t xml:space="preserve">in China Guangzhou is undergoing a radical transformation. No longer confined to traditional deposit and loan functions, today’s banker is a digital innovator, a compliance expert, a sustainability advocate, and a cross-border facilitator. The unique economic dynamics of China Guangzhou demand banking professionals who can adapt to rapid technological changes while maintaining strict regulatory standards. As the city continues to evolve as a global trade hub, the banker will remain central to its financial health and stability. Future research should focus on the long-term impact of AI-driven banking on employment structures in Chinese cities and how educational institutions can better prepare students for these evolving roles. Ultimately, understanding the modern banker in China Guangzhou provides valuable insights into the broader trends reshaping global finance.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Banker in China Guangzhou</dc:title>
  <dc:creator/>
  <dc:language>en</dc:language>
  <cp:keywords/>
  <dcterms:created xsi:type="dcterms:W3CDTF">2026-07-29T13:06:20Z</dcterms:created>
  <dcterms:modified xsi:type="dcterms:W3CDTF">2026-07-29T13:06:20Z</dcterms:modified>
</cp:coreProperties>
</file>

<file path=docProps/custom.xml><?xml version="1.0" encoding="utf-8"?>
<Properties xmlns="http://schemas.openxmlformats.org/officeDocument/2006/custom-properties" xmlns:vt="http://schemas.openxmlformats.org/officeDocument/2006/docPropsVTypes"/>
</file>