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Lyon</w:t>
      </w:r>
    </w:p>
    <w:bookmarkStart w:id="20" w:name="term-paper"/>
    <w:p>
      <w:pPr>
        <w:pStyle w:val="Heading1"/>
      </w:pPr>
      <w:r>
        <w:t xml:space="preserve">Term Paper</w:t>
      </w:r>
    </w:p>
    <w:p>
      <w:pPr>
        <w:pStyle w:val="FirstParagraph"/>
      </w:pPr>
      <w:r>
        <w:t xml:space="preserve">A Comprehensive Analysis of Modern Banking Practices, Regulatory Frameworks, and Regional Economic Integration in France Lyon</w:t>
      </w:r>
    </w:p>
    <w:p>
      <w:pPr>
        <w:pStyle w:val="BodyText"/>
      </w:pPr>
      <w:r>
        <w:br/>
      </w:r>
      <w:r>
        <w:br/>
      </w:r>
      <w:r>
        <w:br/>
      </w: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financial sector is the backbone of any developed economy, serving as the critical infrastructure that facilitates trade, investment, and economic stability. Within this complex ecosystem, the</w:t>
      </w:r>
      <w:r>
        <w:t xml:space="preserve"> </w:t>
      </w:r>
      <w:r>
        <w:rPr>
          <w:bCs/>
          <w:b/>
        </w:rPr>
        <w:t xml:space="preserve">Banker</w:t>
      </w:r>
      <w:r>
        <w:t xml:space="preserve"> </w:t>
      </w:r>
      <w:r>
        <w:t xml:space="preserve">serves not merely as a custodian of capital but as a strategic advisor and a regulator of market confidence. This</w:t>
      </w:r>
      <w:r>
        <w:t xml:space="preserve"> </w:t>
      </w:r>
      <w:r>
        <w:rPr>
          <w:bCs/>
          <w:b/>
        </w:rPr>
        <w:t xml:space="preserve">Term Paper</w:t>
      </w:r>
      <w:r>
        <w:t xml:space="preserve"> </w:t>
      </w:r>
      <w:r>
        <w:t xml:space="preserve">aims to provide an in-depth analysis of the contemporary banking landscape, with a specific geographical focus on</w:t>
      </w:r>
      <w:r>
        <w:t xml:space="preserve"> </w:t>
      </w:r>
      <w:r>
        <w:rPr>
          <w:bCs/>
          <w:b/>
        </w:rPr>
        <w:t xml:space="preserve">France Lyon</w:t>
      </w:r>
      <w:r>
        <w:t xml:space="preserve">. As the second-largest economic hub in France and a pivotal center for investment banking in Europe, Lyon presents a unique case study for understanding how global financial trends intersect with local regulatory environments and cultural expectations. The objective of this document is to examine the shifting responsibilities of the modern banker, emphasizing compliance, digital transformation, and client-centric services within the specific context of</w:t>
      </w:r>
      <w:r>
        <w:t xml:space="preserve"> </w:t>
      </w:r>
      <w:r>
        <w:rPr>
          <w:bCs/>
          <w:b/>
        </w:rPr>
        <w:t xml:space="preserve">France Lyon</w:t>
      </w:r>
      <w:r>
        <w:t xml:space="preserve">.</w:t>
      </w:r>
    </w:p>
    <w:bookmarkEnd w:id="21"/>
    <w:bookmarkStart w:id="22" w:name="X162d80400cb65bbf47469be9f062af7d7e31244"/>
    <w:p>
      <w:pPr>
        <w:pStyle w:val="Heading2"/>
      </w:pPr>
      <w:r>
        <w:t xml:space="preserve">2. Historical Context: The Banking Heritage of France Lyon</w:t>
      </w:r>
    </w:p>
    <w:p>
      <w:pPr>
        <w:pStyle w:val="FirstParagraph"/>
      </w:pPr>
      <w:r>
        <w:t xml:space="preserve">To understand the current role of a banker in this region, one must appreciate its historical significance.</w:t>
      </w:r>
      <w:r>
        <w:t xml:space="preserve"> </w:t>
      </w:r>
      <w:r>
        <w:rPr>
          <w:bCs/>
          <w:b/>
        </w:rPr>
        <w:t xml:space="preserve">France Lyon</w:t>
      </w:r>
      <w:r>
        <w:t xml:space="preserve">, often referred to as the "Capital of Gaules," has historically been a center for silk trade and industrial development. This commercial heritage fostered a robust local banking sector distinct from Parisian centralization. Unlike the highly centralized nature of French banking dominated by institutions in Paris,</w:t>
      </w:r>
      <w:r>
        <w:t xml:space="preserve"> </w:t>
      </w:r>
      <w:r>
        <w:rPr>
          <w:bCs/>
          <w:b/>
        </w:rPr>
        <w:t xml:space="preserve">France Lyon</w:t>
      </w:r>
      <w:r>
        <w:t xml:space="preserve"> </w:t>
      </w:r>
      <w:r>
        <w:t xml:space="preserve">developed a network of regional banks and credit cooperatives that prioritized local enterprise support.</w:t>
      </w:r>
      <w:r>
        <w:t xml:space="preserve"> </w:t>
      </w:r>
      <w:r>
        <w:t xml:space="preserve">For the modern</w:t>
      </w:r>
      <w:r>
        <w:t xml:space="preserve"> </w:t>
      </w:r>
      <w:r>
        <w:rPr>
          <w:bCs/>
          <w:b/>
        </w:rPr>
        <w:t xml:space="preserve">Banker</w:t>
      </w:r>
      <w:r>
        <w:t xml:space="preserve">, this history dictates a need for deep community engagement. In</w:t>
      </w:r>
      <w:r>
        <w:t xml:space="preserve"> </w:t>
      </w:r>
      <w:r>
        <w:rPr>
          <w:bCs/>
          <w:b/>
        </w:rPr>
        <w:t xml:space="preserve">France Lyon</w:t>
      </w:r>
      <w:r>
        <w:t xml:space="preserve">, banking relationships are often long-term and personal, contrasting with the more transactional approaches seen in other global financial hubs. The banker here is expected to possess not only technical financial acumen but also sociological insight into the local industrial fabric, which includes logistics, pharmaceuticals, and biotechnology sectors dominant in the Metropolis of Lyon.</w:t>
      </w:r>
    </w:p>
    <w:bookmarkEnd w:id="22"/>
    <w:bookmarkStart w:id="23" w:name="regulatory-frameworks-and-compliance"/>
    <w:p>
      <w:pPr>
        <w:pStyle w:val="Heading2"/>
      </w:pPr>
      <w:r>
        <w:t xml:space="preserve">3. Regulatory Frameworks and Compliance</w:t>
      </w:r>
    </w:p>
    <w:p>
      <w:pPr>
        <w:pStyle w:val="FirstParagraph"/>
      </w:pPr>
      <w:r>
        <w:t xml:space="preserve">A primary duty of any professional</w:t>
      </w:r>
      <w:r>
        <w:t xml:space="preserve"> </w:t>
      </w:r>
      <w:r>
        <w:rPr>
          <w:bCs/>
          <w:b/>
        </w:rPr>
        <w:t xml:space="preserve">Banker</w:t>
      </w:r>
      <w:r>
        <w:t xml:space="preserve">, particularly within the European Union context represented by</w:t>
      </w:r>
      <w:r>
        <w:t xml:space="preserve"> </w:t>
      </w:r>
      <w:r>
        <w:rPr>
          <w:bCs/>
          <w:b/>
        </w:rPr>
        <w:t xml:space="preserve">France Lyon</w:t>
      </w:r>
      <w:r>
        <w:t xml:space="preserve">, is adherence to strict regulatory frameworks. The banking sector operates under the dual supervision of the Banque de France and the Autorité de Contrôle Prudentiel et de Résolution (ACPR). Furthermore, as an EU member state, French banks must comply with Basel III regulations and European Banking Authority (EBA) guidelines.</w:t>
      </w:r>
      <w:r>
        <w:t xml:space="preserve"> </w:t>
      </w:r>
      <w:r>
        <w:t xml:space="preserve">For a banker operating in</w:t>
      </w:r>
      <w:r>
        <w:t xml:space="preserve"> </w:t>
      </w:r>
      <w:r>
        <w:rPr>
          <w:bCs/>
          <w:b/>
        </w:rPr>
        <w:t xml:space="preserve">France Lyon</w:t>
      </w:r>
      <w:r>
        <w:t xml:space="preserve">, this compliance extends to rigorous Anti-Money Laundering (AML) and Know Your Customer (KYC) protocols. The complexity arises from the international nature of the businesses headquartered in</w:t>
      </w:r>
      <w:r>
        <w:t xml:space="preserve"> </w:t>
      </w:r>
      <w:r>
        <w:rPr>
          <w:bCs/>
          <w:b/>
        </w:rPr>
        <w:t xml:space="preserve">France Lyon</w:t>
      </w:r>
      <w:r>
        <w:t xml:space="preserve">. Many multinational corporations choose to establish their European headquarters here due to its strategic location. Consequently, bankers must navigate cross-border compliance issues, ensuring that transactions involving entities across Europe and beyond meet both local French standards and international sanctions regimes. Failure to adhere to these protocols can result in severe penalties, making risk management an integral part of the banker's daily workflow rather than a secondary administrative task.</w:t>
      </w:r>
    </w:p>
    <w:bookmarkEnd w:id="23"/>
    <w:bookmarkStart w:id="24" w:name="Xbc1d47106519f80c3edd7c27af21b4cf818660a"/>
    <w:p>
      <w:pPr>
        <w:pStyle w:val="Heading2"/>
      </w:pPr>
      <w:r>
        <w:t xml:space="preserve">4. Digital Transformation and Fintech Integration</w:t>
      </w:r>
    </w:p>
    <w:p>
      <w:pPr>
        <w:pStyle w:val="FirstParagraph"/>
      </w:pPr>
      <w:r>
        <w:t xml:space="preserve">The role of the</w:t>
      </w:r>
      <w:r>
        <w:t xml:space="preserve"> </w:t>
      </w:r>
      <w:r>
        <w:rPr>
          <w:bCs/>
          <w:b/>
        </w:rPr>
        <w:t xml:space="preserve">Banker</w:t>
      </w:r>
      <w:r>
        <w:t xml:space="preserve"> </w:t>
      </w:r>
      <w:r>
        <w:t xml:space="preserve">is undergoing a paradigm shift due to rapid digitalization. In</w:t>
      </w:r>
      <w:r>
        <w:t xml:space="preserve"> </w:t>
      </w:r>
      <w:r>
        <w:rPr>
          <w:bCs/>
          <w:b/>
        </w:rPr>
        <w:t xml:space="preserve">France Lyon</w:t>
      </w:r>
      <w:r>
        <w:t xml:space="preserve">, this transformation is accelerated by the city’s growing reputation as a fintech hub, particularly with initiatives like Lyon Data Center and various innovation labs. The traditional branch model is being supplemented, and in some cases replaced, by sophisticated digital platforms that offer real-time financial management tools.</w:t>
      </w:r>
      <w:r>
        <w:t xml:space="preserve"> </w:t>
      </w:r>
      <w:r>
        <w:t xml:space="preserve">However, this digital transition does not render the human element obsolete; rather, it redefines the banker's expertise. In</w:t>
      </w:r>
      <w:r>
        <w:t xml:space="preserve"> </w:t>
      </w:r>
      <w:r>
        <w:rPr>
          <w:bCs/>
          <w:b/>
        </w:rPr>
        <w:t xml:space="preserve">France Lyon</w:t>
      </w:r>
      <w:r>
        <w:t xml:space="preserve">, banks are leveraging big data and artificial intelligence to assess creditworthiness more accurately for small and medium-sized enterprises (SMEs), which form the backbone of the local economy. The modern banker acts as a tech-literate consultant, guiding clients through digital onboarding processes while providing personalized advice that algorithms cannot replicate. This hybrid approach—combining technological efficiency with human empathy—is crucial for maintaining customer loyalty in a competitive market like</w:t>
      </w:r>
      <w:r>
        <w:t xml:space="preserve"> </w:t>
      </w:r>
      <w:r>
        <w:rPr>
          <w:bCs/>
          <w:b/>
        </w:rPr>
        <w:t xml:space="preserve">France Lyon</w:t>
      </w:r>
      <w:r>
        <w:t xml:space="preserve">.</w:t>
      </w:r>
    </w:p>
    <w:bookmarkEnd w:id="24"/>
    <w:bookmarkStart w:id="25" w:name="X6e6cfa7c0df36d1ed76a1d4fad4ef07af63b516"/>
    <w:p>
      <w:pPr>
        <w:pStyle w:val="Heading2"/>
      </w:pPr>
      <w:r>
        <w:t xml:space="preserve">5. Corporate Social Responsibility and Sustainable Finance</w:t>
      </w:r>
    </w:p>
    <w:p>
      <w:pPr>
        <w:pStyle w:val="FirstParagraph"/>
      </w:pPr>
      <w:r>
        <w:t xml:space="preserve">A defining characteristic of modern banking in France is the emphasis on Corporate Social Responsibility (CSR) and sustainable finance. French banking law increasingly mandates transparency regarding environmental impact. For a</w:t>
      </w:r>
      <w:r>
        <w:t xml:space="preserve"> </w:t>
      </w:r>
      <w:r>
        <w:rPr>
          <w:bCs/>
          <w:b/>
        </w:rPr>
        <w:t xml:space="preserve">Banker</w:t>
      </w:r>
      <w:r>
        <w:t xml:space="preserve">, this means evaluating investment opportunities through an ESG (Environmental, Social, and Governance) lens. In</w:t>
      </w:r>
      <w:r>
        <w:t xml:space="preserve"> </w:t>
      </w:r>
      <w:r>
        <w:rPr>
          <w:bCs/>
          <w:b/>
        </w:rPr>
        <w:t xml:space="preserve">France Lyon</w:t>
      </w:r>
      <w:r>
        <w:t xml:space="preserve">, there is a strong push towards financing green infrastructure, renewable energy projects, and sustainable urban development initiatives that align with the city’s "EcoQuartier" planning goals.</w:t>
      </w:r>
      <w:r>
        <w:t xml:space="preserve"> </w:t>
      </w:r>
      <w:r>
        <w:t xml:space="preserve">Bankers in this region are tasked with structuring loans and investment products that reward sustainability. For instance, offering lower interest rates for companies that reduce their carbon footprint is becoming standard practice. This shift requires bankers to be knowledgeable about green bonds, sustainability-linked loans, and the broader regulatory drivers of ESG reporting. By aligning financial goals with environmental stewardship, bankers in</w:t>
      </w:r>
      <w:r>
        <w:t xml:space="preserve"> </w:t>
      </w:r>
      <w:r>
        <w:rPr>
          <w:bCs/>
          <w:b/>
        </w:rPr>
        <w:t xml:space="preserve">France Lyon</w:t>
      </w:r>
      <w:r>
        <w:t xml:space="preserve"> </w:t>
      </w:r>
      <w:r>
        <w:t xml:space="preserve">contribute to the region’s sustainable growth while mitigating long-term climate-related financial risks.</w:t>
      </w:r>
    </w:p>
    <w:bookmarkEnd w:id="25"/>
    <w:bookmarkStart w:id="26" w:name="client-advisory-and-wealth-management"/>
    <w:p>
      <w:pPr>
        <w:pStyle w:val="Heading2"/>
      </w:pPr>
      <w:r>
        <w:t xml:space="preserve">6. Client Advisory and Wealth Management</w:t>
      </w:r>
    </w:p>
    <w:p>
      <w:pPr>
        <w:pStyle w:val="FirstParagraph"/>
      </w:pPr>
      <w:r>
        <w:t xml:space="preserve">Beyond commercial banking, wealth management remains a significant pillar of the industry in</w:t>
      </w:r>
      <w:r>
        <w:t xml:space="preserve"> </w:t>
      </w:r>
      <w:r>
        <w:rPr>
          <w:bCs/>
          <w:b/>
        </w:rPr>
        <w:t xml:space="preserve">France Lyon</w:t>
      </w:r>
      <w:r>
        <w:t xml:space="preserve">. The affluent population and high concentration of successful entrepreneurs create a demand for sophisticated private banking services. Here, the role of the</w:t>
      </w:r>
      <w:r>
        <w:t xml:space="preserve"> </w:t>
      </w:r>
      <w:r>
        <w:rPr>
          <w:bCs/>
          <w:b/>
        </w:rPr>
        <w:t xml:space="preserve">Banker evolves into that of a fiduciary advisor. Clients expect holistic financial planning that encompasses tax optimization, estate planning, and international asset protection.</w:t>
      </w:r>
      <w:r>
        <w:rPr>
          <w:bCs/>
          <w:b/>
        </w:rPr>
        <w:t xml:space="preserve"> </w:t>
      </w:r>
      <w:r>
        <w:rPr>
          <w:bCs/>
          <w:b/>
        </w:rPr>
        <w:t xml:space="preserve">Given the global nature of wealth, bankers in</w:t>
      </w:r>
      <w:r>
        <w:rPr>
          <w:bCs/>
          <w:b/>
        </w:rPr>
        <w:t xml:space="preserve"> </w:t>
      </w:r>
      <w:r>
        <w:rPr>
          <w:bCs/>
          <w:b/>
          <w:bCs/>
          <w:b/>
        </w:rPr>
        <w:t xml:space="preserve">France Lyon</w:t>
      </w:r>
      <w:r>
        <w:rPr>
          <w:bCs/>
          <w:b/>
        </w:rPr>
        <w:t xml:space="preserve"> </w:t>
      </w:r>
      <w:r>
        <w:rPr>
          <w:bCs/>
          <w:b/>
        </w:rPr>
        <w:t xml:space="preserve">must maintain networks with international partners to facilitate cross-border investments. They must also stay abreast of changes in French inheritance laws and tax codes, which are notoriously complex. The ability to provide clear, actionable advice on navigating these regulations is what distinguishes a premier banker in this region. Trust is the currency of wealth management, and building that trust requires a deep understanding of the client’s personal values and long-term objectives.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France Lyon</w:t>
      </w:r>
      <w:r>
        <w:t xml:space="preserve"> </w:t>
      </w:r>
      <w:r>
        <w:t xml:space="preserve">is multifaceted, dynamic, and critically important to the regional economy. It is no longer sufficient to simply manage transactions; a banker must be a compliance expert, a digital strategist, a sustainability advocate, and a trusted personal advisor. The specific context of</w:t>
      </w:r>
      <w:r>
        <w:t xml:space="preserve"> </w:t>
      </w:r>
      <w:r>
        <w:rPr>
          <w:bCs/>
          <w:b/>
        </w:rPr>
        <w:t xml:space="preserve">France Lyon</w:t>
      </w:r>
      <w:r>
        <w:t xml:space="preserve">, with its rich commercial history and position as a major European hub, demands bankers who can bridge the gap between traditional banking values and modern technological possibilities.</w:t>
      </w:r>
      <w:r>
        <w:t xml:space="preserve"> </w:t>
      </w:r>
      <w:r>
        <w:t xml:space="preserve">This</w:t>
      </w:r>
      <w:r>
        <w:t xml:space="preserve"> </w:t>
      </w:r>
      <w:r>
        <w:rPr>
          <w:bCs/>
          <w:b/>
        </w:rPr>
        <w:t xml:space="preserve">Term Paper</w:t>
      </w:r>
      <w:r>
        <w:t xml:space="preserve"> </w:t>
      </w:r>
      <w:r>
        <w:t xml:space="preserve">has highlighted that success in this sector requires continuous learning and adaptation. As regulatory pressures increase and technology evolves, bankers must remain agile. The future of banking in</w:t>
      </w:r>
      <w:r>
        <w:t xml:space="preserve"> </w:t>
      </w:r>
      <w:r>
        <w:rPr>
          <w:bCs/>
          <w:b/>
        </w:rPr>
        <w:t xml:space="preserve">France Lyon</w:t>
      </w:r>
      <w:r>
        <w:t xml:space="preserve"> </w:t>
      </w:r>
      <w:r>
        <w:t xml:space="preserve">lies not in resisting change, but in embracing it to deliver superior value to clients while upholding the integrity and stability of the financial system. Ultimately, the banker serves as a vital connector between capital and opportunity, fostering economic resilience and growth within this vibrant French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France Lyon</dc:title>
  <dc:creator/>
  <dc:language>en</dc:language>
  <cp:keywords/>
  <dcterms:created xsi:type="dcterms:W3CDTF">2026-07-29T10:38:36Z</dcterms:created>
  <dcterms:modified xsi:type="dcterms:W3CDTF">2026-07-29T10:38:36Z</dcterms:modified>
</cp:coreProperties>
</file>

<file path=docProps/custom.xml><?xml version="1.0" encoding="utf-8"?>
<Properties xmlns="http://schemas.openxmlformats.org/officeDocument/2006/custom-properties" xmlns:vt="http://schemas.openxmlformats.org/officeDocument/2006/docPropsVTypes"/>
</file>