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Bankers</w:t>
      </w:r>
      <w:r>
        <w:t xml:space="preserve"> </w:t>
      </w:r>
      <w:r>
        <w:t xml:space="preserve">in</w:t>
      </w:r>
      <w:r>
        <w:t xml:space="preserve"> </w:t>
      </w:r>
      <w:r>
        <w:t xml:space="preserve">Iraq</w:t>
      </w:r>
      <w:r>
        <w:t xml:space="preserve"> </w:t>
      </w:r>
      <w:r>
        <w:t xml:space="preserve">Baghdad</w:t>
      </w:r>
    </w:p>
    <w:bookmarkStart w:id="20" w:name="X0e99c83d7de8f78a791abd5d74f9ed25f2602af"/>
    <w:p>
      <w:pPr>
        <w:pStyle w:val="Heading1"/>
      </w:pPr>
      <w:r>
        <w:t xml:space="preserve">The Role and Evolution of Bankers in Iraq Baghdad</w:t>
      </w:r>
    </w:p>
    <w:p>
      <w:pPr>
        <w:pStyle w:val="FirstParagraph"/>
      </w:pPr>
      <w:r>
        <w:t xml:space="preserve">A Term Paper on Financial Systems, Economic Reconstruction, and Professional Ethics</w:t>
      </w:r>
      <w:r>
        <w:br/>
      </w:r>
      <w:r>
        <w:br/>
      </w:r>
      <w:r>
        <w:t xml:space="preserve">Course: International Banking &amp; Finance</w:t>
      </w:r>
      <w:r>
        <w:br/>
      </w:r>
      <w:r>
        <w:br/>
      </w:r>
      <w:r>
        <w:t xml:space="preserve">Date: October 26, 2023</w:t>
      </w:r>
    </w:p>
    <w:bookmarkEnd w:id="20"/>
    <w:bookmarkStart w:id="21" w:name="i.-introduction"/>
    <w:p>
      <w:pPr>
        <w:pStyle w:val="Heading1"/>
      </w:pPr>
      <w:r>
        <w:t xml:space="preserve">I. Introduction</w:t>
      </w:r>
    </w:p>
    <w:p>
      <w:pPr>
        <w:pStyle w:val="FirstParagraph"/>
      </w:pPr>
      <w:r>
        <w:t xml:space="preserve">The financial landscape of the Middle East has undergone profound transformations over the past three decades. Within this region, no city exemplifies the tension between historical significance and modern economic ambition quite like Iraq Baghdad. As the capital and largest city of Iraq, Baghdad serves as the central nervous system for both political decision-making and commercial activity. At the heart of this complex ecosystem are bankers—professionals who serve as critical intermediaries between capital providers, government entities, private enterprises, and international investors. This term paper examines the multifaceted role of bankers in Iraq Baghdad, analyzing their historical context during periods of conflict and reconstruction, their current responsibilities within a dual banking system (conventional and Islamic), and the challenges they face in fostering sustainable economic growth.</w:t>
      </w:r>
    </w:p>
    <w:p>
      <w:pPr>
        <w:pStyle w:val="BodyText"/>
      </w:pPr>
      <w:r>
        <w:t xml:space="preserve">The significance of understanding the specific dynamics of bankers in Iraq Baghdad cannot be overstated. The country has transitioned from an oil-dependent state heavily sanctioned by international coalitions to a developing economy seeking foreign direct investment (FDI). In this context, bankers are not merely custodians of money; they are architects of stability. This paper argues that the effectiveness of bankers in Iraq Baghdad is directly correlated with the nation's ability to diversify its economy, combat corruption, and integrate into the global financial system while adhering to strict regulatory frameworks.</w:t>
      </w:r>
    </w:p>
    <w:bookmarkEnd w:id="21"/>
    <w:bookmarkStart w:id="22" w:name="X07036ede4e48b5a6b24072d6a71ba1cbfabac70"/>
    <w:p>
      <w:pPr>
        <w:pStyle w:val="Heading1"/>
      </w:pPr>
      <w:r>
        <w:t xml:space="preserve">II. Historical Context: From Centralization to Liberalization</w:t>
      </w:r>
    </w:p>
    <w:p>
      <w:pPr>
        <w:pStyle w:val="FirstParagraph"/>
      </w:pPr>
      <w:r>
        <w:t xml:space="preserve">To understand the present role of bankers in Iraq Baghdad, one must first appreciate the historical trajectory of its banking sector. Following the establishment of the central bank in 1947, and particularly after 2003, the banking landscape shifted from a strictly state-controlled environment to a more liberalized structure. For years under previous regimes, banks in Iraq Baghdad functioned primarily as extensions of government fiscal policy rather than independent financial institutions. Credit allocation was often political rather than commercial.</w:t>
      </w:r>
    </w:p>
    <w:p>
      <w:pPr>
        <w:pStyle w:val="BodyText"/>
      </w:pPr>
      <w:r>
        <w:t xml:space="preserve">The post-2003 era brought about the influx of foreign banks and the restructuring of domestic entities. However, this period was also marred by instability, which hindered the professional development of local bankers. The legacy of this era created a gap in institutional memory regarding risk management and international compliance standards. Consequently, modern bankers in Iraq Baghdad are tasked with bridging this historical divide, moving away from state-centric lending toward market-driven financial practices that prioritize transparency and accountability.</w:t>
      </w:r>
    </w:p>
    <w:bookmarkEnd w:id="22"/>
    <w:bookmarkStart w:id="23" w:name="X43b246f18edf43425b7ab7b8eefb14a5b9823ab"/>
    <w:p>
      <w:pPr>
        <w:pStyle w:val="Heading1"/>
      </w:pPr>
      <w:r>
        <w:t xml:space="preserve">III. The Dual Banking System: Conventional and Islamic Finance</w:t>
      </w:r>
    </w:p>
    <w:p>
      <w:pPr>
        <w:pStyle w:val="FirstParagraph"/>
      </w:pPr>
      <w:r>
        <w:t xml:space="preserve">A unique characteristic of the banking sector in Iraq Baghdad is the coexistence of conventional commercial banks and Islamic financial institutions. While conventional banking has historically dominated, there has been a significant push toward Islamic finance in recent years, aligning with global trends and local religious sentiments. Bankers operating in Iraq Baghdad must now possess dual competencies: understanding traditional interest-based lending models as well as Sharia-compliant financing mechanisms such as Murabaha (cost-plus financing) and Ijara (leasing).</w:t>
      </w:r>
    </w:p>
    <w:p>
      <w:pPr>
        <w:pStyle w:val="BodyText"/>
      </w:pPr>
      <w:r>
        <w:t xml:space="preserve">This duality presents both opportunities and challenges. For the banker in Iraq Baghdad, it requires continuous professional education to navigate complex regulatory requirements. The Central Bank of Iraq has been actively promoting Islamic banking products to reduce reliance on oil revenues and engage a broader demographic of depositors who seek ethical financial solutions. Therefore, the modern banker is not only a financial analyst but also a cultural mediator who can offer products that resonate with the socio-religious values of Iraqi society while remaining profitable.</w:t>
      </w:r>
    </w:p>
    <w:bookmarkEnd w:id="23"/>
    <w:bookmarkStart w:id="24" w:name="Xb17f4d7bd2c8f2aa5918abe7f52314b5ffffb6b"/>
    <w:p>
      <w:pPr>
        <w:pStyle w:val="Heading1"/>
      </w:pPr>
      <w:r>
        <w:t xml:space="preserve">IV. Challenges Facing Bankers in Iraq Baghdad</w:t>
      </w:r>
    </w:p>
    <w:p>
      <w:pPr>
        <w:pStyle w:val="FirstParagraph"/>
      </w:pPr>
      <w:r>
        <w:t xml:space="preserve">Despite progress, bankers in Iraq Baghdad face substantial hurdles. The first major challenge is infrastructure. Although digital banking initiatives are gaining traction, many transactions still rely on physical documentation and cash-based systems, which increases the risk of fraud and reduces efficiency for bankers. Furthermore, cybersecurity remains a critical concern as Iraqi banks increasingly adopt online platforms to serve a young, tech-savvy population.</w:t>
      </w:r>
    </w:p>
    <w:p>
      <w:pPr>
        <w:pStyle w:val="BodyText"/>
      </w:pPr>
      <w:r>
        <w:t xml:space="preserve">Secondly, regulatory compliance is a daunting task. Bankers in Iraq Baghdad must adhere to stringent Anti-Money Laundering (AML) and Counter-Terrorist Financing (CTF) regulations imposed by both the Central Bank of Iraq and international bodies like the Financial Action Task Force (FATF). Failure to comply can result in severe penalties and exclusion from the global financial system. This requires bankers to implement robust Know Your Customer (KYC) protocols, which can be difficult in an environment where informal economies are prevalent.</w:t>
      </w:r>
    </w:p>
    <w:bookmarkEnd w:id="24"/>
    <w:bookmarkStart w:id="25" w:name="Xe41f35c421055de6f314737d5c21491834d1480"/>
    <w:p>
      <w:pPr>
        <w:pStyle w:val="Heading1"/>
      </w:pPr>
      <w:r>
        <w:t xml:space="preserve">V. The Role of Bankers in Economic Diversification</w:t>
      </w:r>
    </w:p>
    <w:p>
      <w:pPr>
        <w:pStyle w:val="FirstParagraph"/>
      </w:pPr>
      <w:r>
        <w:t xml:space="preserve">The ultimate goal for bankers in Iraq Baghdad is to facilitate economic diversification. With oil revenues accounting for the majority of government income, there is an urgent need to support small and medium-sized enterprises (SMEs) and non-oil sectors such as agriculture, manufacturing, and tourism. Bankers play a pivotal role here by providing venture capital, working capital loans, and trade finance instruments that empower entrepreneurs.</w:t>
      </w:r>
    </w:p>
    <w:p>
      <w:pPr>
        <w:pStyle w:val="BodyText"/>
      </w:pPr>
      <w:r>
        <w:t xml:space="preserve">By shifting their portfolio away from government bonds toward private sector lending, bankers in Iraq Baghdad can stimulate job creation and innovation. However, this requires a higher appetite for risk and sophisticated credit analysis skills. It demands that bankers move beyond collateral-based lending to cash-flow-based lending models, which are more suitable for assessing the viability of new businesses.</w:t>
      </w:r>
    </w:p>
    <w:bookmarkEnd w:id="25"/>
    <w:bookmarkStart w:id="26" w:name="vi.-conclusion"/>
    <w:p>
      <w:pPr>
        <w:pStyle w:val="Heading1"/>
      </w:pPr>
      <w:r>
        <w:t xml:space="preserve">VI. Conclusion</w:t>
      </w:r>
    </w:p>
    <w:p>
      <w:pPr>
        <w:pStyle w:val="FirstParagraph"/>
      </w:pPr>
      <w:r>
        <w:t xml:space="preserve">In conclusion, the role of bankers in Iraq Baghdad is evolving from passive custodians of state funds to active agents of economic transformation. They operate within a complex environment shaped by historical legacies, religious considerations, and global financial standards. To succeed, bankers must embrace technological innovation, adhere to strict regulatory compliance, and foster a culture of transparency.</w:t>
      </w:r>
    </w:p>
    <w:p>
      <w:pPr>
        <w:pStyle w:val="BodyText"/>
      </w:pPr>
      <w:r>
        <w:t xml:space="preserve">As Iraq Baghdad continues its path toward modernization and stability, the competence and integrity of its banking professionals will be decisive. Investing in the education and development of bankers in this region is not just a financial imperative but a national priority. Through their efforts to integrate Iraq into the global economy while maintaining local relevance, bankers hold the key to unlocking sustainable prosperity for millions of citizens. The future of Iraq Baghdad’s economy rests heavily on their shoulders, making their professional development a critical component of the nation’s broader reconstruction and growth strategy.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Bankers in Iraq Baghdad</dc:title>
  <dc:creator/>
  <dc:language>en</dc:language>
  <cp:keywords/>
  <dcterms:created xsi:type="dcterms:W3CDTF">2026-07-29T16:14:52Z</dcterms:created>
  <dcterms:modified xsi:type="dcterms:W3CDTF">2026-07-29T16:14:52Z</dcterms:modified>
</cp:coreProperties>
</file>

<file path=docProps/custom.xml><?xml version="1.0" encoding="utf-8"?>
<Properties xmlns="http://schemas.openxmlformats.org/officeDocument/2006/custom-properties" xmlns:vt="http://schemas.openxmlformats.org/officeDocument/2006/docPropsVTypes"/>
</file>