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Malaysia</w:t>
      </w:r>
      <w:r>
        <w:t xml:space="preserve"> </w:t>
      </w:r>
      <w:r>
        <w:t xml:space="preserve">Kuala</w:t>
      </w:r>
      <w:r>
        <w:t xml:space="preserve"> </w:t>
      </w:r>
      <w:r>
        <w:t xml:space="preserve">Lumpur</w:t>
      </w:r>
    </w:p>
    <w:bookmarkStart w:id="27" w:name="X3448726dd4dceb433576ee541bff6eed4ce3842"/>
    <w:p>
      <w:pPr>
        <w:pStyle w:val="Heading1"/>
      </w:pPr>
      <w:r>
        <w:t xml:space="preserve">The Evolving Role of the Banker in Malaysia Kuala Lumpur</w:t>
      </w:r>
    </w:p>
    <w:bookmarkStart w:id="26" w:name="Xafaef4ad997ffa4d70c1a242f4061781dc896a6"/>
    <w:p>
      <w:pPr>
        <w:pStyle w:val="Heading2"/>
      </w:pPr>
      <w:r>
        <w:t xml:space="preserve">A Term Paper on Financial Leadership and Strategic Adaptation in a Modern Hub</w:t>
      </w:r>
    </w:p>
    <w:p>
      <w:pPr>
        <w:pStyle w:val="FirstParagraph"/>
      </w:pPr>
      <w:r>
        <w:rPr>
          <w:bCs/>
          <w:b/>
        </w:rPr>
        <w:t xml:space="preserve">Abstract:</w:t>
      </w:r>
    </w:p>
    <w:p>
      <w:pPr>
        <w:pStyle w:val="BodyText"/>
      </w:pPr>
      <w:r>
        <w:t xml:space="preserve">This term paper explores the multifaceted role of the banker within the dynamic financial ecosystem of Malaysia Kuala Lumpur. As the capital city serves as the epicenter of Southeast Asia’s economic activity, bankers operating in this region face unique challenges and opportunities. This document analyzes how modern bankers must adapt to digital transformation, regulatory shifts under Bank Negara Malaysia, and the increasing demand for sustainable finance. By examining case studies and current market trends in Malaysia Kuala Lumpur, we determine that the contemporary banker is no longer merely a custodian of funds but a strategic advisor responsible for navigating complexity in one of the world’s most vibrant financial districts.</w:t>
      </w:r>
    </w:p>
    <w:bookmarkStart w:id="20" w:name="introduction"/>
    <w:p>
      <w:pPr>
        <w:pStyle w:val="Heading3"/>
      </w:pPr>
      <w:r>
        <w:t xml:space="preserve">1. Introduction</w:t>
      </w:r>
    </w:p>
    <w:p>
      <w:pPr>
        <w:pStyle w:val="FirstParagraph"/>
      </w:pPr>
      <w:r>
        <w:t xml:space="preserve">The profession of banking has undergone a radical transformation over the last two decades, moving away from traditional transactional roles toward complex advisory and strategic functions. Nowhere is this shift more pronounced than in Malaysia Kuala Lumpur, a city that has established itself as the leading financial hub of ASEAN. For any term paper focusing on regional economic dynamics, understanding the specific context of Malaysia Kuala Lumpur is paramount. The presence of multinational corporations, robust Islamic banking sectors, and aggressive fintech integration creates a unique environment for bankers.</w:t>
      </w:r>
    </w:p>
    <w:p>
      <w:pPr>
        <w:pStyle w:val="BodyText"/>
      </w:pPr>
      <w:r>
        <w:t xml:space="preserve">In this context, the role of the banker extends far beyond balancing ledgers or processing loans. In Malaysia Kuala Lumpur, bankers are expected to possess deep local market knowledge while maintaining global standards. This paper argues that the modern banker in this jurisdiction must serve as a bridge between traditional financial stability and innovative technological disruption. The following sections will detail these responsibilities, highlighting how the specific economic landscape of Malaysia Kuala Lumpur influences daily banking operations and long-term strategic planning.</w:t>
      </w:r>
    </w:p>
    <w:bookmarkEnd w:id="20"/>
    <w:bookmarkStart w:id="21" w:name="Xfe7fe8eb7d75d98cd819491c517ddb86d6743f1"/>
    <w:p>
      <w:pPr>
        <w:pStyle w:val="Heading3"/>
      </w:pPr>
      <w:r>
        <w:t xml:space="preserve">2. The Regulatory Landscape: Navigating Bank Negara Malaysia</w:t>
      </w:r>
    </w:p>
    <w:p>
      <w:pPr>
        <w:pStyle w:val="FirstParagraph"/>
      </w:pPr>
      <w:r>
        <w:t xml:space="preserve">A primary duty of any banker operating in this region is strict adherence to regulatory frameworks enforced by Bank Negara Malaysia (BNM). Unlike other jurisdictions where regulations may be more fragmented, bankers in Malaysia Kuala Lumpur operate under a centralized yet comprehensive supervisory regime. This term paper emphasizes that compliance is not merely a bureaucratic hurdle but a core competency.</w:t>
      </w:r>
    </w:p>
    <w:p>
      <w:pPr>
        <w:pStyle w:val="BodyText"/>
      </w:pPr>
      <w:r>
        <w:t xml:space="preserve">In the bustling financial districts of Kuala Lumpur, such as the Golden Triangle, bankers must ensure that all transactions comply with Anti-Money Laundering (AML) and Counter-Financing of Terrorism (CFT) guidelines. Furthermore, recent initiatives by BNM regarding digital banking licenses have forced traditional bankers to rethink their risk management models. The banker in Malaysia Kuala Lumpur is now required to be a regulator-aware professional, constantly updating their knowledge base to reflect new directives on data privacy and cyber resilience. Failure to adapt results in severe penalties, making regulatory literacy a critical aspect of the banker’s skill set.</w:t>
      </w:r>
    </w:p>
    <w:bookmarkEnd w:id="21"/>
    <w:bookmarkStart w:id="22" w:name="the-rise-of-islamic-finance"/>
    <w:p>
      <w:pPr>
        <w:pStyle w:val="Heading3"/>
      </w:pPr>
      <w:r>
        <w:t xml:space="preserve">3. The Rise of Islamic Finance</w:t>
      </w:r>
    </w:p>
    <w:p>
      <w:pPr>
        <w:pStyle w:val="FirstParagraph"/>
      </w:pPr>
      <w:r>
        <w:t xml:space="preserve">A distinguishing feature of banking in Malaysia Kuala Lumpur, compared to Western financial centers, is the prominence and sophistication of Islamic finance. Malaysia is often cited as the global leader in Sharia-compliant banking products. Consequently, a banker working in this region must possess specialized knowledge regarding principles such as</w:t>
      </w:r>
      <w:r>
        <w:t xml:space="preserve"> </w:t>
      </w:r>
      <w:r>
        <w:rPr>
          <w:iCs/>
          <w:i/>
        </w:rPr>
        <w:t xml:space="preserve">Mudarabah</w:t>
      </w:r>
      <w:r>
        <w:t xml:space="preserve">,</w:t>
      </w:r>
      <w:r>
        <w:t xml:space="preserve"> </w:t>
      </w:r>
      <w:r>
        <w:rPr>
          <w:iCs/>
          <w:i/>
        </w:rPr>
        <w:t xml:space="preserve">Musharakah</w:t>
      </w:r>
      <w:r>
        <w:t xml:space="preserve">, and</w:t>
      </w:r>
      <w:r>
        <w:t xml:space="preserve"> </w:t>
      </w:r>
      <w:r>
        <w:rPr>
          <w:bCs/>
          <w:b/>
        </w:rPr>
        <w:t xml:space="preserve">Sukuk</w:t>
      </w:r>
      <w:r>
        <w:t xml:space="preserve"> </w:t>
      </w:r>
      <w:r>
        <w:t xml:space="preserve">structures.</w:t>
      </w:r>
    </w:p>
    <w:p>
      <w:pPr>
        <w:pStyle w:val="BodyText"/>
      </w:pPr>
      <w:r>
        <w:t xml:space="preserve">This term paper highlights that the modern banker cannot simply rely on conventional lending models. In Malaysia Kuala Lumpur, clients increasingly seek financing options that align with ethical and religious guidelines. Bankers must therefore be able to structure complex Islamic investment products for both individual retail customers and corporate entities. This dual capability—managing conventional Western-style derivatives alongside Sharia-compliant assets—makes the banker in this region uniquely versatile but also requires continuous professional development.</w:t>
      </w:r>
    </w:p>
    <w:bookmarkEnd w:id="22"/>
    <w:bookmarkStart w:id="23" w:name="Xbc1d47106519f80c3edd7c27af21b4cf818660a"/>
    <w:p>
      <w:pPr>
        <w:pStyle w:val="Heading3"/>
      </w:pPr>
      <w:r>
        <w:t xml:space="preserve">4. Digital Transformation and Fintech Integration</w:t>
      </w:r>
    </w:p>
    <w:p>
      <w:pPr>
        <w:pStyle w:val="FirstParagraph"/>
      </w:pPr>
      <w:r>
        <w:t xml:space="preserve">The financial district of Malaysia Kuala Lumpur is witnessing a technological renaissance. With government support for fintech startups, traditional banks are under immense pressure to digitize their services. The role of the banker has consequently shifted from face-to-face relationship management to digital advisory roles.</w:t>
      </w:r>
    </w:p>
    <w:p>
      <w:pPr>
        <w:pStyle w:val="BodyText"/>
      </w:pPr>
      <w:r>
        <w:t xml:space="preserve">In this era, a banker in Malaysia Kuala Lumpur must be proficient in utilizing big data analytics to assess creditworthiness beyond traditional collateral. Artificial Intelligence (AI) tools are now employed to predict market trends and customer behavior. However, the human element remains crucial; bankers must interpret these algorithms and provide empathetic, personalized advice to clients. The synergy between technological efficiency and human judgment defines the successful banker in this specific locale.</w:t>
      </w:r>
    </w:p>
    <w:bookmarkEnd w:id="23"/>
    <w:bookmarkStart w:id="24" w:name="sustainable-finance-and-esg-commitments"/>
    <w:p>
      <w:pPr>
        <w:pStyle w:val="Heading3"/>
      </w:pPr>
      <w:r>
        <w:t xml:space="preserve">5. Sustainable Finance and ESG Commitments</w:t>
      </w:r>
    </w:p>
    <w:p>
      <w:pPr>
        <w:pStyle w:val="FirstParagraph"/>
      </w:pPr>
      <w:r>
        <w:t xml:space="preserve">Environmental, Social, and Governance (ESG) criteria have become central to banking strategies globally, but their application in Malaysia Kuala Lumpur is particularly significant due to national commitments under the Paris Agreement. Bankers in this region are increasingly tasked with evaluating green projects. Whether financing solar energy plants in Selangor or sustainable infrastructure developments within Kuala Lumpur’s city center, bankers play a pivotal role in capital allocation for sustainability.</w:t>
      </w:r>
    </w:p>
    <w:p>
      <w:pPr>
        <w:pStyle w:val="BodyText"/>
      </w:pPr>
      <w:r>
        <w:t xml:space="preserve">This term paper asserts that future banking careers will require expertise in ESG reporting and impact measurement. Bankers must ensure that the loans they approve contribute to Malaysia’s low-carbon initiatives. This represents a profound evolution from the profit-only mentality of the past, embedding social responsibility into the core identity of banking in Malaysia Kuala Lumpur.</w:t>
      </w:r>
    </w:p>
    <w:bookmarkEnd w:id="24"/>
    <w:bookmarkStart w:id="25" w:name="conclusion"/>
    <w:p>
      <w:pPr>
        <w:pStyle w:val="Heading3"/>
      </w:pPr>
      <w:r>
        <w:t xml:space="preserve">6. Conclusion</w:t>
      </w:r>
    </w:p>
    <w:p>
      <w:pPr>
        <w:pStyle w:val="FirstParagraph"/>
      </w:pPr>
      <w:r>
        <w:t xml:space="preserve">In conclusion, this term paper has demonstrated that the role of the banker in Malaysia Kuala Lumpur is complex, dynamic, and increasingly specialized. It is no longer sufficient to be merely a financial intermediary; one must be a regulatory expert, an Islamic finance specialist, a digital native, and a champion of sustainability. The unique economic ecosystem of Malaysia Kuala Lumpur demands bankers who can navigate these overlapping domains with competence.</w:t>
      </w:r>
    </w:p>
    <w:p>
      <w:pPr>
        <w:pStyle w:val="BodyText"/>
      </w:pPr>
      <w:r>
        <w:t xml:space="preserve">As the city continues to grow as an international financial center, the expectations placed on banking professionals will only rise. Therefore, educational institutions and training programs must align with these realities to prepare future bankers. Ultimately, the success of Malaysia Kuala Lumpur’s financial sector depends heavily on the adaptability and strategic foresight of its bankers.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Banker in Malaysia Kuala Lumpur</dc:title>
  <dc:creator/>
  <dc:language>en</dc:language>
  <cp:keywords/>
  <dcterms:created xsi:type="dcterms:W3CDTF">2026-07-30T09:11:00Z</dcterms:created>
  <dcterms:modified xsi:type="dcterms:W3CDTF">2026-07-30T09:11:00Z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