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Strategic</w:t>
      </w:r>
      <w:r>
        <w:t xml:space="preserve"> </w:t>
      </w:r>
      <w:r>
        <w:t xml:space="preserve">Analysis</w:t>
      </w:r>
    </w:p>
    <w:bookmarkStart w:id="34" w:name="X5b158cd6d7bd2a65455459ebe1cab9247fe18d7"/>
    <w:p>
      <w:pPr>
        <w:pStyle w:val="Heading1"/>
      </w:pPr>
      <w:r>
        <w:t xml:space="preserve">The Modern Banker in Russia Moscow:</w:t>
      </w:r>
      <w:r>
        <w:br/>
      </w:r>
      <w:r>
        <w:t xml:space="preserve">A Strategic Analysis of Financial Leadership in a Complex Market</w:t>
      </w:r>
    </w:p>
    <w:bookmarkStart w:id="20" w:name="abstract"/>
    <w:p>
      <w:pPr>
        <w:pStyle w:val="Heading3"/>
      </w:pPr>
      <w:r>
        <w:rPr>
          <w:bCs/>
          <w:b/>
        </w:rPr>
        <w:t xml:space="preserve">Abstract</w:t>
      </w:r>
    </w:p>
    <w:p>
      <w:pPr>
        <w:pStyle w:val="FirstParagraph"/>
      </w:pPr>
      <w:r>
        <w:t xml:space="preserve">This term paper explores the evolving role of the banker within the dynamic economic landscape of Russia Moscow. It examines how global financial standards intersect with local regulatory frameworks, geopolitical influences, and technological advancements. The study argues that success for a banker in this region requires more than traditional financial acumen; it demands cultural intelligence, strategic adaptability to sanctions and market volatility, and a deep understanding of the unique corporate governance structures prevalent in Russia. Through an analysis of case studies and current trends, this paper provides insights into what defines an effective banker operating in one of the world’s most complex financial hubs today.</w:t>
      </w:r>
    </w:p>
    <w:bookmarkEnd w:id="20"/>
    <w:bookmarkStart w:id="21" w:name="i.-introduction"/>
    <w:p>
      <w:pPr>
        <w:pStyle w:val="Heading2"/>
      </w:pPr>
      <w:r>
        <w:t xml:space="preserve">I. Introduction</w:t>
      </w:r>
    </w:p>
    <w:p>
      <w:pPr>
        <w:pStyle w:val="FirstParagraph"/>
      </w:pPr>
      <w:r>
        <w:t xml:space="preserve">In the realm of international finance few cities command as much attention or present as many challenges as Russia Moscow. As the capital and primary economic engine of the Russian Federation, Russia Moscow serves as a critical node in global markets, despite ongoing geopolitical tensions and internal structural changes for centuries has been defined by its resilience amidst adversity yet today's environment demands even greater sophistication from those who operate within its borders. This term paper aims to dissect the multifaceted nature of being a</w:t>
      </w:r>
      <w:r>
        <w:t xml:space="preserve"> </w:t>
      </w:r>
      <w:r>
        <w:rPr>
          <w:bCs/>
          <w:b/>
        </w:rPr>
        <w:t xml:space="preserve">Banker</w:t>
      </w:r>
      <w:r>
        <w:t xml:space="preserve"> </w:t>
      </w:r>
      <w:r>
        <w:t xml:space="preserve">specifically tailored to the context of Russia Moscow.</w:t>
      </w:r>
    </w:p>
    <w:p>
      <w:pPr>
        <w:pStyle w:val="BodyText"/>
      </w:pPr>
      <w:r>
        <w:t xml:space="preserve">The significance of this study lies in identifying key competencies required for success beyond traditional banking skills. For instance understanding how state-owned enterprises interact with private banks is crucial for any professional looking to thrive in Russia Moscow Furthermore navigating regulatory landscapes shaped by both domestic policy and international sanctions requires a nuanced approach that goes beyond standard Western banking practices.</w:t>
      </w:r>
    </w:p>
    <w:bookmarkEnd w:id="21"/>
    <w:bookmarkStart w:id="24" w:name="Xaffc912583280c409d7b3360fd8ededf14a625b"/>
    <w:p>
      <w:pPr>
        <w:pStyle w:val="Heading2"/>
      </w:pPr>
      <w:r>
        <w:t xml:space="preserve">II. Historical Context and Evolution of Banking in Russia Moscow</w:t>
      </w:r>
    </w:p>
    <w:p>
      <w:pPr>
        <w:pStyle w:val="FirstParagraph"/>
      </w:pPr>
      <w:r>
        <w:t xml:space="preserve">To fully appreciate the current state of banking it is essential to look back at its historical roots. Following the collapse of Soviet Union in early nineties Russia Moscow underwent significant transformation from centrally planned economy toward market-oriented system initially characterized by widespread fraud lack regulation rapid inflation and eventual recovery led prudent leadership and institutional reforms over past two decades have seen emergence strong domestic banks alongside presence foreign institutions although latter now face considerable constraints due recent sanctions regime.</w:t>
      </w:r>
    </w:p>
    <w:bookmarkStart w:id="22" w:name="a.-transition-period-challenges"/>
    <w:p>
      <w:pPr>
        <w:pStyle w:val="Heading3"/>
      </w:pPr>
      <w:r>
        <w:t xml:space="preserve">A. Transition Period Challenges</w:t>
      </w:r>
    </w:p>
    <w:p>
      <w:pPr>
        <w:pStyle w:val="FirstParagraph"/>
      </w:pPr>
      <w:r>
        <w:t xml:space="preserve">The transition period was marked by chaotic privatization processes often referred to as "shock therapy" which created vast wealth disparities among population while simultaneously establishing foundation modern financial sector Many early failures taught valuable lessons about risk management transparency which continue influence contemporary banking practices today.</w:t>
      </w:r>
    </w:p>
    <w:bookmarkEnd w:id="22"/>
    <w:bookmarkStart w:id="23" w:name="b.-recent-developments"/>
    <w:p>
      <w:pPr>
        <w:pStyle w:val="Heading3"/>
      </w:pPr>
      <w:r>
        <w:t xml:space="preserve">B. Recent Developments</w:t>
      </w:r>
    </w:p>
    <w:p>
      <w:pPr>
        <w:pStyle w:val="FirstParagraph"/>
      </w:pPr>
      <w:r>
        <w:t xml:space="preserve">In recent years government intervention increased significantly leading consolidation among largest players such as Sberbank VTB Alfa-Bank etc These entities dominate retail commercial segments serving millions customers nationwide Their strategies reflect broader national priorities including digital transformation financial inclusion support for small medium enterprises SMEs.</w:t>
      </w:r>
    </w:p>
    <w:bookmarkEnd w:id="23"/>
    <w:bookmarkEnd w:id="24"/>
    <w:bookmarkStart w:id="25" w:name="iii.-the-role-of-the-modern-banker"/>
    <w:p>
      <w:pPr>
        <w:pStyle w:val="Heading2"/>
      </w:pPr>
      <w:r>
        <w:t xml:space="preserve">III. The Role of the Modern Banker</w:t>
      </w:r>
    </w:p>
    <w:p>
      <w:pPr>
        <w:pStyle w:val="FirstParagraph"/>
      </w:pPr>
      <w:r>
        <w:t xml:space="preserve">A modern banker working in Russia Moscow must possess diverse skill sets ranging from technical expertise soft skills capable adapting rapidly changing circumstances Below are some core competencies identified through analysis:</w:t>
      </w:r>
    </w:p>
    <w:p>
      <w:pPr>
        <w:numPr>
          <w:ilvl w:val="0"/>
          <w:numId w:val="1001"/>
        </w:numPr>
        <w:pStyle w:val="Compact"/>
      </w:pPr>
      <w:r>
        <w:rPr>
          <w:bCs/>
          <w:b/>
        </w:rPr>
        <w:t xml:space="preserve">Cultural Intelligence (CQ):</w:t>
      </w:r>
      <w:r>
        <w:t xml:space="preserve"> </w:t>
      </w:r>
      <w:r>
        <w:t xml:space="preserve">Understanding local customs business etiquette is vital for building trust relationships clients partners</w:t>
      </w:r>
    </w:p>
    <w:p>
      <w:pPr>
        <w:numPr>
          <w:ilvl w:val="0"/>
          <w:numId w:val="1001"/>
        </w:numPr>
        <w:pStyle w:val="Compact"/>
      </w:pPr>
      <w:r>
        <w:rPr>
          <w:bCs/>
          <w:b/>
        </w:rPr>
        <w:t xml:space="preserve">Linguistic Proficiency:</w:t>
      </w:r>
    </w:p>
    <w:p>
      <w:pPr>
        <w:numPr>
          <w:ilvl w:val="0"/>
          <w:numId w:val="1001"/>
        </w:numPr>
        <w:pStyle w:val="Compact"/>
      </w:pPr>
      <w:r>
        <w:rPr>
          <w:bCs/>
          <w:b/>
        </w:rPr>
        <w:t xml:space="preserve">Risk Management Expertise:</w:t>
      </w:r>
      <w:r>
        <w:t xml:space="preserve"> </w:t>
      </w:r>
      <w:r>
        <w:t xml:space="preserve">Given heightened uncertainties associated with sanctions currency fluctuations geopolitical tensions effective identification mitigation risks critical</w:t>
      </w:r>
    </w:p>
    <w:bookmarkEnd w:id="25"/>
    <w:bookmarkStart w:id="28" w:name="X9dfb56b58a075a5403d9887327ea33451408241"/>
    <w:p>
      <w:pPr>
        <w:pStyle w:val="Heading2"/>
      </w:pPr>
      <w:r>
        <w:t xml:space="preserve">IV. Navigating Regulatory Frameworks and Sanctions Environment</w:t>
      </w:r>
    </w:p>
    <w:p>
      <w:pPr>
        <w:pStyle w:val="FirstParagraph"/>
      </w:pPr>
      <w:r>
        <w:t xml:space="preserve">The regulatory environment surrounding banking operations has become increasingly complex particularly since 2014 when Western powers imposed various measures targeting specific sectors individuals connected Russian government These restrictions have forced institutions develop alternative payment systems SWIFT-independent solutions like SPFS System Transfer Financial Messages). Additionally Central Bank Russia plays active role supervising compliance ensuring stability throughout financial system.</w:t>
      </w:r>
    </w:p>
    <w:bookmarkStart w:id="26" w:name="a.-compliance-strategies"/>
    <w:p>
      <w:pPr>
        <w:pStyle w:val="Heading3"/>
      </w:pPr>
      <w:r>
        <w:t xml:space="preserve">A. Compliance Strategies</w:t>
      </w:r>
    </w:p>
    <w:p>
      <w:pPr>
        <w:pStyle w:val="FirstParagraph"/>
      </w:pPr>
      <w:r>
        <w:t xml:space="preserve">For a banker operating in this climate staying updated latest developments regarding international laws domestic regulations necessary. Implementing robust internal controls mechanisms helps prevent inadvertent violations potentially resulting severe penalties reputational damage Furthermore fostering transparent communication channels between legal teams front-line staff ensures alignment across organization.</w:t>
      </w:r>
    </w:p>
    <w:bookmarkEnd w:id="26"/>
    <w:bookmarkStart w:id="27" w:name="b.-impact-on-customer-relationships"/>
    <w:p>
      <w:pPr>
        <w:pStyle w:val="Heading3"/>
      </w:pPr>
      <w:r>
        <w:t xml:space="preserve">B. Impact on Customer Relationships</w:t>
      </w:r>
    </w:p>
    <w:p>
      <w:pPr>
        <w:pStyle w:val="FirstParagraph"/>
      </w:pPr>
      <w:r>
        <w:t xml:space="preserve">Sancions also affect how banks serve clients especially those involved cross-border transactions limited access foreign currencies exchange rates volatility necessitate creative solutions such as utilizing digital assets or establishing partnerships non-sanctioning countries diversifying supply chains accordingly.</w:t>
      </w:r>
    </w:p>
    <w:bookmarkEnd w:id="27"/>
    <w:bookmarkEnd w:id="28"/>
    <w:bookmarkStart w:id="30" w:name="X793d457458b0504bdb7f79ae0d2d946fa992cc2"/>
    <w:p>
      <w:pPr>
        <w:pStyle w:val="Heading2"/>
      </w:pPr>
      <w:r>
        <w:t xml:space="preserve">V. Technological Innovation and Digital Transformation</w:t>
      </w:r>
    </w:p>
    <w:p>
      <w:pPr>
        <w:pStyle w:val="FirstParagraph"/>
      </w:pPr>
      <w:r>
        <w:t xml:space="preserve">Despite external pressures innovation continues drive progress within industry especially evident through adoption fintech technologies mobile banking platforms artificial intelligence algorithms predictive analytics big data processing capabilities enhancing efficiency customer experience enabling personalized services tailored needs unique demographics present across vast geographical expanse country.</w:t>
      </w:r>
    </w:p>
    <w:bookmarkStart w:id="29" w:name="Xce6cfef4b70f1aa947d89893c6c753ab0744648"/>
    <w:p>
      <w:pPr>
        <w:pStyle w:val="Heading3"/>
      </w:pPr>
      <w:r>
        <w:t xml:space="preserve">A. Case Study: Sberbank's Digital Initiatives</w:t>
      </w:r>
    </w:p>
    <w:p>
      <w:pPr>
        <w:pStyle w:val="FirstParagraph"/>
      </w:pPr>
      <w:r>
        <w:t xml:space="preserve">Sberbank serves exemplary model leveraging technology to expand reach beyond traditional brick-and-mortar branches via mobile app offering wide range functionalities including payments loans investments insurance products making banking accessible convenient users regardless location geographic constraints.</w:t>
      </w:r>
    </w:p>
    <w:bookmarkEnd w:id="29"/>
    <w:bookmarkEnd w:id="30"/>
    <w:bookmarkStart w:id="32" w:name="Xc9f3fccd13d25865e597cd3d21e3b030ede49c7"/>
    <w:p>
      <w:pPr>
        <w:pStyle w:val="Heading2"/>
      </w:pPr>
      <w:r>
        <w:t xml:space="preserve">VI. Ethical Considerations and Corporate Governance</w:t>
      </w:r>
    </w:p>
    <w:p>
      <w:pPr>
        <w:pStyle w:val="FirstParagraph"/>
      </w:pPr>
      <w:r>
        <w:t xml:space="preserve">Ethics forms backbone sustainable business operation particularly relevant context where perceptions regarding corruption transparency persist historically addressing these issues proactively demonstrates commitment integrity building credibility long-term viability.</w:t>
      </w:r>
    </w:p>
    <w:bookmarkStart w:id="31" w:name="a.-promoting-transparency"/>
    <w:p>
      <w:pPr>
        <w:pStyle w:val="Heading3"/>
      </w:pPr>
      <w:r>
        <w:t xml:space="preserve">A. Promoting Transparency</w:t>
      </w:r>
    </w:p>
    <w:p>
      <w:pPr>
        <w:pStyle w:val="FirstParagraph"/>
      </w:pPr>
      <w:r>
        <w:t xml:space="preserve">Banks must adhere highest standards disclosure reporting practices aligned international norms ISO 27001 information security management standards ensuring protection sensitive data belonging customers employees alike Building robust anti-corruption policies training programs fostering ethical culture throughout workforce reinforces public trust essential foundation successful enterprise.</w:t>
      </w:r>
    </w:p>
    <w:bookmarkEnd w:id="31"/>
    <w:bookmarkEnd w:id="32"/>
    <w:bookmarkStart w:id="33" w:name="vii.-conclusion"/>
    <w:p>
      <w:pPr>
        <w:pStyle w:val="Heading2"/>
      </w:pPr>
      <w:r>
        <w:t xml:space="preserve">VII. Conclusion</w:t>
      </w:r>
    </w:p>
    <w:p>
      <w:pPr>
        <w:pStyle w:val="FirstParagraph"/>
      </w:pPr>
      <w:r>
        <w:t xml:space="preserve">In conclusion becoming a successful banker in Russia Moscow requires comprehensive understanding historical evolution current realities future trajectories shaping financial landscape there By integrating cultural awareness regulatory savvy technological prowess ethical leadership professionals can navigate complexities effectively contributing positively toward growth stability sector overall As world continues evolve interconnectedness grows importance cross-border collaboration increases despite political differences finding common ground pursuing shared goals ultimately benefits everyone involved.</w:t>
      </w:r>
    </w:p>
    <w:p>
      <w:r>
        <w:pict>
          <v:rect style="width:0;height:1.5pt" o:hralign="center" o:hrstd="t" o:hr="t"/>
        </w:pict>
      </w:r>
    </w:p>
    <w:p>
      <w:pPr>
        <w:pStyle w:val="FirstParagraph"/>
      </w:pPr>
      <w:r>
        <w:rPr>
          <w:bCs/>
          <w:b/>
        </w:rPr>
        <w:t xml:space="preserve">Note:</w:t>
      </w:r>
      <w:r>
        <w:t xml:space="preserve"> </w:t>
      </w:r>
      <w:r>
        <w:t xml:space="preserve">This document serves as an academic exploration intended for educational purposes only. All references to specific entities mentioned herein are based on publicly available information at time of writing.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Russia Moscow: A Strategic Analysis</dc:title>
  <dc:creator/>
  <dc:language>en</dc:language>
  <cp:keywords/>
  <dcterms:created xsi:type="dcterms:W3CDTF">2026-07-29T14:31:48Z</dcterms:created>
  <dcterms:modified xsi:type="dcterms:W3CDTF">2026-07-29T14:31:48Z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