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34" w:name="X46054668dbbf1312f603b40ce8fa1dc566bd21b"/>
    <w:p>
      <w:pPr>
        <w:pStyle w:val="Heading1"/>
      </w:pPr>
      <w:r>
        <w:t xml:space="preserve">The Evolving Role of the Banker in the Economic Landscape of Saudi Arabia Jeddah</w:t>
      </w:r>
    </w:p>
    <w:p>
      <w:pPr>
        <w:pStyle w:val="FirstParagraph"/>
      </w:pPr>
      <w:r>
        <w:rPr>
          <w:bCs/>
          <w:b/>
        </w:rPr>
        <w:t xml:space="preserve">Abstract:</w:t>
      </w:r>
      <w:r>
        <w:br/>
      </w:r>
      <w:r>
        <w:t xml:space="preserve">This term paper explores the multifaceted role of the banker within the specific economic and cultural context of Saudi Arabia Jeddah. As Jeddah positions itself as a premier hub for trade, tourism, and finance under Vision 2030, the traditional functions of banking are undergoing significant transformation. This document analyzes how modern bankers in this region must adapt to regulatory shifts, embrace digital innovation, and align with Sharia-compliant principles while fostering sustainable economic growth.</w:t>
      </w:r>
    </w:p>
    <w:p>
      <w:pPr>
        <w:pStyle w:val="BodyText"/>
      </w:pPr>
      <w:r>
        <w:rPr>
          <w:bCs/>
          <w:b/>
        </w:rPr>
        <w:t xml:space="preserve">Keywords:</w:t>
      </w:r>
      <w:r>
        <w:t xml:space="preserve"> </w:t>
      </w:r>
      <w:r>
        <w:t xml:space="preserve">Banker, Saudi Arabia Jeddah, Vision 2030 Islamic Finance Digital Banking Economic Diversification Corporate Social Responsibility</w:t>
      </w:r>
    </w:p>
    <w:bookmarkStart w:id="20" w:name="i.-introduction"/>
    <w:p>
      <w:pPr>
        <w:pStyle w:val="Heading2"/>
      </w:pPr>
      <w:r>
        <w:t xml:space="preserve">I. Introduction</w:t>
      </w:r>
    </w:p>
    <w:p>
      <w:pPr>
        <w:pStyle w:val="FirstParagraph"/>
      </w:pPr>
      <w:r>
        <w:t xml:space="preserve">The financial sector in the Kingdom of Saudi Arabia has long been a pillar of economic stability, but the city of Saudi Arabia Jeddah represents a unique microcosm of this broader national transformation. As the commercial capital and main gateway to Mecca and Medina, Jeddah serves as a critical node for international trade and tourism. Within this dynamic environment, the role of the</w:t>
      </w:r>
      <w:r>
        <w:t xml:space="preserve"> </w:t>
      </w:r>
      <w:r>
        <w:rPr>
          <w:bCs/>
          <w:b/>
        </w:rPr>
        <w:t xml:space="preserve">Banker</w:t>
      </w:r>
      <w:r>
        <w:t xml:space="preserve"> </w:t>
      </w:r>
      <w:r>
        <w:t xml:space="preserve">has transcended traditional transactional duties to become a strategic partner in national development.</w:t>
      </w:r>
    </w:p>
    <w:p>
      <w:pPr>
        <w:pStyle w:val="BodyText"/>
      </w:pPr>
      <w:r>
        <w:t xml:space="preserve">In recent years, the implementation of Vision 2030 has necessitated a paradigm shift in how financial institutions operate. The modern banker in Saudi Arabia Jeddah is no longer merely a custodian of wealth but an architect of economic diversification. This term paper aims to elucidate the evolving responsibilities, challenges, and opportunities facing bankers in this specific geographic and cultural context.</w:t>
      </w:r>
    </w:p>
    <w:bookmarkEnd w:id="20"/>
    <w:bookmarkStart w:id="23" w:name="Xdc5b8102ac7e54b864a3533411e09bd0b68df3b"/>
    <w:p>
      <w:pPr>
        <w:pStyle w:val="Heading2"/>
      </w:pPr>
      <w:r>
        <w:t xml:space="preserve">II. Regulatory Framework and Sharia Compliance</w:t>
      </w:r>
    </w:p>
    <w:bookmarkStart w:id="21" w:name="a.-the-dual-banking-system"/>
    <w:p>
      <w:pPr>
        <w:pStyle w:val="Heading3"/>
      </w:pPr>
      <w:r>
        <w:t xml:space="preserve">A. The Dual Banking System</w:t>
      </w:r>
    </w:p>
    <w:p>
      <w:pPr>
        <w:pStyle w:val="FirstParagraph"/>
      </w:pPr>
      <w:r>
        <w:t xml:space="preserve">In Saudi Arabia Jeddah, as in the rest of the Kingdom, bankers operate within a dual banking system comprising conventional banks and Islamic financial institutions. Understanding Sharia (Islamic law) is not optional for any banker operating in this region; it is fundamental to trust and legitimacy. The role of the banker involves ensuring that all financial products—from mortgages to investment funds—adhere to prohibitions against interest (Riba), excessive uncertainty (Gharar), and unethical investments.</w:t>
      </w:r>
    </w:p>
    <w:bookmarkEnd w:id="21"/>
    <w:bookmarkStart w:id="22" w:name="b.-central-bank-directives"/>
    <w:p>
      <w:pPr>
        <w:pStyle w:val="Heading3"/>
      </w:pPr>
      <w:r>
        <w:t xml:space="preserve">B. Central Bank Directives</w:t>
      </w:r>
    </w:p>
    <w:p>
      <w:pPr>
        <w:pStyle w:val="FirstParagraph"/>
      </w:pPr>
      <w:r>
        <w:t xml:space="preserve">The Saudi Arabian Monetary Authority (SAMA) plays a pivotal role in shaping the behavior of bankers. Recent regulations have focused on risk management, consumer protection, and financial inclusion. Bankers in Jeddah must navigate a complex web of compliance requirements while maintaining competitive agility. This regulatory environment demands that bankers possess not only financial acumen but also a deep understanding of legal and ethical frameworks.</w:t>
      </w:r>
    </w:p>
    <w:bookmarkEnd w:id="22"/>
    <w:bookmarkEnd w:id="23"/>
    <w:bookmarkStart w:id="26" w:name="X5ca690e546571bdec439a5d46af704fba868c3c"/>
    <w:p>
      <w:pPr>
        <w:pStyle w:val="Heading2"/>
      </w:pPr>
      <w:r>
        <w:t xml:space="preserve">III. Digital Transformation and Fintech Integration</w:t>
      </w:r>
    </w:p>
    <w:bookmarkStart w:id="24" w:name="a.-the-push-for-financial-inclusion"/>
    <w:p>
      <w:pPr>
        <w:pStyle w:val="Heading3"/>
      </w:pPr>
      <w:r>
        <w:t xml:space="preserve">A. The Push for Financial Inclusion</w:t>
      </w:r>
    </w:p>
    <w:p>
      <w:pPr>
        <w:pStyle w:val="FirstParagraph"/>
      </w:pPr>
      <w:r>
        <w:t xml:space="preserve">Saudi Arabia Jeddah is witnessing a rapid acceleration in digital adoption. The younger demographic, which constitutes the majority of the population, prefers mobile-first banking solutions. Consequently, the modern banker must act as a bridge between legacy systems and emerging financial technologies (Fintech). This involves promoting digital literacy among clients and integrating advanced cybersecurity measures to protect sensitive data.</w:t>
      </w:r>
    </w:p>
    <w:bookmarkEnd w:id="24"/>
    <w:bookmarkStart w:id="25" w:name="b.-strategic-partnerships"/>
    <w:p>
      <w:pPr>
        <w:pStyle w:val="Heading3"/>
      </w:pPr>
      <w:r>
        <w:t xml:space="preserve">B. Strategic Partnerships</w:t>
      </w:r>
    </w:p>
    <w:p>
      <w:pPr>
        <w:pStyle w:val="FirstParagraph"/>
      </w:pPr>
      <w:r>
        <w:t xml:space="preserve">To remain relevant, bankers in Jeddah are increasingly collaborating with Fintech startups. These partnerships allow for the development of innovative payment gateways, blockchain-based supply chain financing, and AI-driven credit scoring models. By leveraging these technologies, bankers can reduce operational costs and enhance customer experience, thereby driving financial inclusion in underserved communities within Saudi Arabia Jeddah.</w:t>
      </w:r>
    </w:p>
    <w:bookmarkEnd w:id="25"/>
    <w:bookmarkEnd w:id="26"/>
    <w:bookmarkStart w:id="29" w:name="Xe9554625fb3df40c811df846a7680271718fc68"/>
    <w:p>
      <w:pPr>
        <w:pStyle w:val="Heading2"/>
      </w:pPr>
      <w:r>
        <w:t xml:space="preserve">IV. Supporting Economic Diversification under Vision 2030</w:t>
      </w:r>
    </w:p>
    <w:bookmarkStart w:id="27" w:name="a.-financing-smes-and-startups"/>
    <w:p>
      <w:pPr>
        <w:pStyle w:val="Heading3"/>
      </w:pPr>
      <w:r>
        <w:t xml:space="preserve">A. Financing SMEs and Startups</w:t>
      </w:r>
    </w:p>
    <w:p>
      <w:pPr>
        <w:pStyle w:val="FirstParagraph"/>
      </w:pPr>
      <w:r>
        <w:t xml:space="preserve">A core objective of Vision 2030 is to diversify the economy away from oil dependency toward sectors such as tourism, logistics, manufacturing, and entertainment. Jeddah is at the forefront of this transition, hosting numerous Special Economic Zones (JSEZ). Bankers play a crucial role in providing capital to Small and Medium Enterprises (SMEs) that drive innovation in these sectors. This requires bankers to develop specialized risk assessment models that evaluate the potential of innovative business models rather than relying solely on traditional collateral.</w:t>
      </w:r>
    </w:p>
    <w:bookmarkEnd w:id="27"/>
    <w:bookmarkStart w:id="28" w:name="b.-infrastructure-and-mega-projects"/>
    <w:p>
      <w:pPr>
        <w:pStyle w:val="Heading3"/>
      </w:pPr>
      <w:r>
        <w:t xml:space="preserve">B. Infrastructure and Mega-Projects</w:t>
      </w:r>
    </w:p>
    <w:p>
      <w:pPr>
        <w:pStyle w:val="FirstParagraph"/>
      </w:pPr>
      <w:r>
        <w:t xml:space="preserve">With the development of projects like Jeddah Central, the Red Sea Project, and Qiddiya in nearby regions, there is an unprecedented demand for project financing. Bankers are involved in structuring large-scale debt instruments, syndicated loans, and green bonds to fund infrastructure developments. The banker’s role here extends to environmental impact assessment and ensuring that projects align with sustainability goals.</w:t>
      </w:r>
    </w:p>
    <w:bookmarkEnd w:id="28"/>
    <w:bookmarkEnd w:id="29"/>
    <w:bookmarkStart w:id="30" w:name="Xe71a17a70b12597581680e797c866a1e287f1e2"/>
    <w:p>
      <w:pPr>
        <w:pStyle w:val="Heading2"/>
      </w:pPr>
      <w:r>
        <w:t xml:space="preserve">V. Corporate Social Responsibility (CSR) and Sustainability</w:t>
      </w:r>
    </w:p>
    <w:p>
      <w:pPr>
        <w:pStyle w:val="FirstParagraph"/>
      </w:pPr>
      <w:r>
        <w:t xml:space="preserve">In the contemporary business landscape of Saudi Arabia Jeddah, CSR is no longer a peripheral activity but a central component of corporate strategy. Bankers are expected to promote sustainable finance by offering green loans and ESG (Environmental, Social, and Governance) linked financing products. This aligns with global standards and local aspirations for environmental stewardship.</w:t>
      </w:r>
    </w:p>
    <w:p>
      <w:pPr>
        <w:pStyle w:val="BodyText"/>
      </w:pPr>
      <w:r>
        <w:t xml:space="preserve">Furthermore bankers often engage in community development initiatives, such as financial literacy programs for students and entrepreneurs in Jeddah. By empowering individuals with knowledge about savings, investment, and debt management, bankers contribute to the overall social fabric of Saudi Arabia Jeddah. This holistic approach strengthens brand loyalty and fosters a culture of responsible banking.</w:t>
      </w:r>
    </w:p>
    <w:bookmarkEnd w:id="30"/>
    <w:bookmarkStart w:id="31" w:name="vi.-human-capital-development"/>
    <w:p>
      <w:pPr>
        <w:pStyle w:val="Heading2"/>
      </w:pPr>
      <w:r>
        <w:t xml:space="preserve">VI. Human Capital Development</w:t>
      </w:r>
    </w:p>
    <w:p>
      <w:pPr>
        <w:pStyle w:val="FirstParagraph"/>
      </w:pPr>
      <w:r>
        <w:t xml:space="preserve">The success of any financial institution in Saudi Arabia Jeddah depends heavily on its human capital. The trend of Saudization (Nitaqat) mandates that banks prioritize the hiring and training of Saudi nationals. Therefore, bankers must also be educators and mentors, preparing the next generation of local professionals for leadership roles in finance. This involves continuous professional development programs focusing on international banking standards, digital skills, and cross-cultural communication.</w:t>
      </w:r>
    </w:p>
    <w:bookmarkEnd w:id="31"/>
    <w:bookmarkStart w:id="33" w:name="vii.-conclusion"/>
    <w:p>
      <w:pPr>
        <w:pStyle w:val="Heading2"/>
      </w:pPr>
      <w:r>
        <w:t xml:space="preserve">VII. Conclusion</w:t>
      </w:r>
    </w:p>
    <w:p>
      <w:pPr>
        <w:pStyle w:val="FirstParagraph"/>
      </w:pPr>
      <w:r>
        <w:t xml:space="preserve">In conclusion, the role of the banker in Saudi Arabia Jeddah is undergoing a profound transformation driven by regulatory changes, technological advancements, and strategic national goals. The modern banker must be versatile: a guardian of Sharia-compliant ethics, a pioneer of digital innovation, and a catalyst for economic diversification.</w:t>
      </w:r>
    </w:p>
    <w:p>
      <w:pPr>
        <w:pStyle w:val="BodyText"/>
      </w:pPr>
      <w:r>
        <w:t xml:space="preserve">As Saudi Arabia Jeddah continues to position itself as an international hub for trade and tourism, the banking sector will remain central to its success. Bankers who can effectively navigate the complexities of this environment while maintaining a strong commitment to social responsibility and sustainability will be instrumental in realizing the ambitions of Vision 2030. The future of banking in this region lies not just in managing money, but in managing change, fostering growth, and building resilience for generations to come.</w:t>
      </w:r>
    </w:p>
    <w:bookmarkStart w:id="32" w:name="references"/>
    <w:p>
      <w:pPr>
        <w:pStyle w:val="Heading3"/>
      </w:pPr>
      <w:r>
        <w:t xml:space="preserve">References</w:t>
      </w:r>
    </w:p>
    <w:p>
      <w:pPr>
        <w:numPr>
          <w:ilvl w:val="0"/>
          <w:numId w:val="1001"/>
        </w:numPr>
        <w:pStyle w:val="Compact"/>
      </w:pPr>
      <w:r>
        <w:t xml:space="preserve">Saudi Central Bank (SAMA). (2023). Annual Report on Financial Stability.</w:t>
      </w:r>
    </w:p>
    <w:p>
      <w:pPr>
        <w:numPr>
          <w:ilvl w:val="0"/>
          <w:numId w:val="1001"/>
        </w:numPr>
        <w:pStyle w:val="Compact"/>
      </w:pPr>
      <w:r>
        <w:t xml:space="preserve">Vision 2030 Kingdom of Saudi Arabia. (2016). Strategic Framework for Economic Diversification.</w:t>
      </w:r>
    </w:p>
    <w:p>
      <w:pPr>
        <w:numPr>
          <w:ilvl w:val="0"/>
          <w:numId w:val="1001"/>
        </w:numPr>
        <w:pStyle w:val="Compact"/>
      </w:pPr>
      <w:r>
        <w:t xml:space="preserve">Al-Homaidi, A., &amp; Al-Jassab, M. (2022). The Impact of Islamic Banking on Economic Growth in Jeddah. Journal of Middle Eastern Finance.</w:t>
      </w:r>
    </w:p>
    <w:p>
      <w:pPr>
        <w:numPr>
          <w:ilvl w:val="0"/>
          <w:numId w:val="1001"/>
        </w:numPr>
        <w:pStyle w:val="Compact"/>
      </w:pPr>
      <w:r>
        <w:t xml:space="preserve">National Center for Privatization and Public-Private Partnerships (NCP). (2021). Infrastructure Development Strategy for Saudi Arabia Jeddah.</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Economic Landscape of Saudi Arabia Jeddah</dc:title>
  <dc:creator/>
  <dc:language>en</dc:language>
  <cp:keywords/>
  <dcterms:created xsi:type="dcterms:W3CDTF">2026-07-29T18:23:08Z</dcterms:created>
  <dcterms:modified xsi:type="dcterms:W3CDTF">2026-07-29T18:23:08Z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