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52775908c1f25b9394303fbb83e91728bf8dec6"/>
    <w:p>
      <w:pPr>
        <w:pStyle w:val="Heading1"/>
      </w:pPr>
      <w:r>
        <w:t xml:space="preserve">The Role and Evolution of the Banker in United Kingdom London</w:t>
      </w:r>
    </w:p>
    <w:p>
      <w:pPr>
        <w:pStyle w:val="FirstParagraph"/>
      </w:pPr>
      <w:r>
        <w:rPr>
          <w:bCs/>
          <w:b/>
        </w:rPr>
        <w:t xml:space="preserve">A Term Paper submitted to the Faculty of Economics and Finance</w:t>
      </w:r>
    </w:p>
    <w:p>
      <w:pPr>
        <w:pStyle w:val="BodyText"/>
      </w:pPr>
      <w:r>
        <w:rPr>
          <w:bCs/>
          <w:b/>
        </w:rPr>
        <w:t xml:space="preserve">Date:</w:t>
      </w:r>
      <w:r>
        <w:t xml:space="preserve"> </w:t>
      </w:r>
      <w:r>
        <w:t xml:space="preserve">October 2023</w:t>
      </w:r>
    </w:p>
    <w:bookmarkEnd w:id="20"/>
    <w:bookmarkStart w:id="21" w:name="X45dbf2268e43e41ea604257dd26497b1c48467b"/>
    <w:p>
      <w:pPr>
        <w:pStyle w:val="Heading2"/>
      </w:pPr>
      <w:r>
        <w:t xml:space="preserve">I. Introduction: The Prestige of United Kingdom London in Global Finance</w:t>
      </w:r>
    </w:p>
    <w:p>
      <w:pPr>
        <w:pStyle w:val="FirstParagraph"/>
      </w:pPr>
      <w:r>
        <w:t xml:space="preserve">The narrative of modern global finance is inextricably linked to the historic and contemporary significance of</w:t>
      </w:r>
      <w:r>
        <w:t xml:space="preserve"> </w:t>
      </w:r>
      <w:r>
        <w:rPr>
          <w:bCs/>
          <w:b/>
        </w:rPr>
        <w:t xml:space="preserve">United Kingdom London</w:t>
      </w:r>
      <w:r>
        <w:t xml:space="preserve">. As one of the world’s premier financial hubs, this city has served as the beating heart for international capital flows, currency trading, and investment banking for centuries. Within this intricate ecosystem, the figure of the</w:t>
      </w:r>
      <w:r>
        <w:t xml:space="preserve"> </w:t>
      </w:r>
      <w:r>
        <w:rPr>
          <w:bCs/>
          <w:b/>
        </w:rPr>
        <w:t xml:space="preserve">Banker</w:t>
      </w:r>
      <w:r>
        <w:t xml:space="preserve"> </w:t>
      </w:r>
      <w:r>
        <w:t xml:space="preserve">stands not merely as a corporate employee but as a pivotal architect of economic stability and growth. This term paper explores the multifaceted role of the</w:t>
      </w:r>
      <w:r>
        <w:t xml:space="preserve"> </w:t>
      </w:r>
      <w:r>
        <w:rPr>
          <w:bCs/>
          <w:b/>
        </w:rPr>
        <w:t xml:space="preserve">Banker</w:t>
      </w:r>
      <w:r>
        <w:t xml:space="preserve">, examining how their functions have evolved within the specific regulatory, historical, and cultural context of</w:t>
      </w:r>
      <w:r>
        <w:t xml:space="preserve"> </w:t>
      </w:r>
      <w:r>
        <w:rPr>
          <w:bCs/>
          <w:b/>
        </w:rPr>
        <w:t xml:space="preserve">United Kingdom London</w:t>
      </w:r>
      <w:r>
        <w:t xml:space="preserve">. By analyzing these dynamics, we can better understand how traditional banking principles merge with modern fintech innovations in one of the most influential financial capitals on Earth.</w:t>
      </w:r>
    </w:p>
    <w:bookmarkEnd w:id="21"/>
    <w:bookmarkStart w:id="22" w:name="X4d34df326e06dce981c7ee90e882e51edbaddfe"/>
    <w:p>
      <w:pPr>
        <w:pStyle w:val="Heading2"/>
      </w:pPr>
      <w:r>
        <w:t xml:space="preserve">II. Historical Foundations: From Lombard Street to the City</w:t>
      </w:r>
    </w:p>
    <w:p>
      <w:pPr>
        <w:pStyle w:val="FirstParagraph"/>
      </w:pPr>
      <w:r>
        <w:t xml:space="preserve">To comprehend the modern</w:t>
      </w:r>
      <w:r>
        <w:t xml:space="preserve"> </w:t>
      </w:r>
      <w:r>
        <w:rPr>
          <w:bCs/>
          <w:b/>
        </w:rPr>
        <w:t xml:space="preserve">Banker</w:t>
      </w:r>
      <w:r>
        <w:t xml:space="preserve">, one must first appreciate the deep historical roots embedded in</w:t>
      </w:r>
      <w:r>
        <w:t xml:space="preserve"> </w:t>
      </w:r>
      <w:r>
        <w:rPr>
          <w:bCs/>
          <w:b/>
        </w:rPr>
        <w:t xml:space="preserve">United Kingdom London</w:t>
      </w:r>
      <w:r>
        <w:t xml:space="preserve">. The genesis of banking in this region can be traced back to medieval merchant bankers who operated along Lombard Street. These early figures laid the groundwork for credit systems, bill discounting, and international trade finance. Over centuries, as Britain expanded its imperial reach,</w:t>
      </w:r>
      <w:r>
        <w:t xml:space="preserve"> </w:t>
      </w:r>
      <w:r>
        <w:rPr>
          <w:bCs/>
          <w:b/>
        </w:rPr>
        <w:t xml:space="preserve">London</w:t>
      </w:r>
      <w:r>
        <w:t xml:space="preserve"> </w:t>
      </w:r>
      <w:r>
        <w:t xml:space="preserve">became the central clearinghouse for global commerce. The professional identity of the</w:t>
      </w:r>
      <w:r>
        <w:t xml:space="preserve"> </w:t>
      </w:r>
      <w:r>
        <w:rPr>
          <w:bCs/>
          <w:b/>
        </w:rPr>
        <w:t xml:space="preserve">Banker</w:t>
      </w:r>
      <w:r>
        <w:t xml:space="preserve"> </w:t>
      </w:r>
      <w:r>
        <w:t xml:space="preserve">was forged in this environment, characterized by discretion, long-term relationship building, and a profound understanding of geopolitical risk.</w:t>
      </w:r>
    </w:p>
    <w:p>
      <w:pPr>
        <w:pStyle w:val="BodyText"/>
      </w:pPr>
      <w:r>
        <w:t xml:space="preserve">The establishment of institutions such as the Bank of England further cemented London’s status. For centuries, the</w:t>
      </w:r>
      <w:r>
        <w:t xml:space="preserve"> </w:t>
      </w:r>
      <w:r>
        <w:rPr>
          <w:bCs/>
          <w:b/>
        </w:rPr>
        <w:t xml:space="preserve">Banker</w:t>
      </w:r>
      <w:r>
        <w:t xml:space="preserve"> </w:t>
      </w:r>
      <w:r>
        <w:t xml:space="preserve">in</w:t>
      </w:r>
      <w:r>
        <w:t xml:space="preserve"> </w:t>
      </w:r>
      <w:r>
        <w:rPr>
          <w:bCs/>
          <w:b/>
        </w:rPr>
        <w:t xml:space="preserve">United Kingdom London</w:t>
      </w:r>
      <w:r>
        <w:t xml:space="preserve"> </w:t>
      </w:r>
      <w:r>
        <w:t xml:space="preserve">operated under a culture that prized stability over aggressive speculation. This historical context remains relevant today, influencing the conservative risk appetites often observed in traditional British banking firms compared to their counterparts on the continent or across the Atlantic.</w:t>
      </w:r>
    </w:p>
    <w:bookmarkEnd w:id="22"/>
    <w:bookmarkStart w:id="26" w:name="X0e4789a413d0caa5c9e3536edd96af81bc97042"/>
    <w:p>
      <w:pPr>
        <w:pStyle w:val="Heading2"/>
      </w:pPr>
      <w:r>
        <w:t xml:space="preserve">III. The Modern Banker: Roles and Responsibilities</w:t>
      </w:r>
    </w:p>
    <w:p>
      <w:pPr>
        <w:pStyle w:val="FirstParagraph"/>
      </w:pPr>
      <w:r>
        <w:t xml:space="preserve">In contemporary</w:t>
      </w:r>
      <w:r>
        <w:t xml:space="preserve"> </w:t>
      </w:r>
      <w:r>
        <w:rPr>
          <w:bCs/>
          <w:b/>
        </w:rPr>
        <w:t xml:space="preserve">United Kingdom London</w:t>
      </w:r>
      <w:r>
        <w:t xml:space="preserve">, the role of the</w:t>
      </w:r>
      <w:r>
        <w:t xml:space="preserve"> </w:t>
      </w:r>
      <w:r>
        <w:rPr>
          <w:bCs/>
          <w:b/>
        </w:rPr>
        <w:t xml:space="preserve">Banker</w:t>
      </w:r>
      <w:r>
        <w:t xml:space="preserve"> </w:t>
      </w:r>
      <w:r>
        <w:t xml:space="preserve">has diversified significantly. While traditional commercial banking remains vital, investment banking, asset management, and private wealth management have become equally prominent sectors in the City of London’s economy.</w:t>
      </w:r>
    </w:p>
    <w:bookmarkStart w:id="23" w:name="Xfc0028ef14a6eff30f6dd5a7f70accfeb703e3f"/>
    <w:p>
      <w:pPr>
        <w:pStyle w:val="Heading3"/>
      </w:pPr>
      <w:r>
        <w:t xml:space="preserve">A. Investment Banking and Corporate Advisory</w:t>
      </w:r>
    </w:p>
    <w:p>
      <w:pPr>
        <w:pStyle w:val="FirstParagraph"/>
      </w:pPr>
      <w:r>
        <w:t xml:space="preserve">In the realm of investment banking, the</w:t>
      </w:r>
      <w:r>
        <w:t xml:space="preserve"> </w:t>
      </w:r>
      <w:r>
        <w:rPr>
          <w:bCs/>
          <w:b/>
        </w:rPr>
        <w:t xml:space="preserve">Banker</w:t>
      </w:r>
      <w:r>
        <w:t xml:space="preserve"> </w:t>
      </w:r>
      <w:r>
        <w:t xml:space="preserve">in</w:t>
      </w:r>
      <w:r>
        <w:t xml:space="preserve"> </w:t>
      </w:r>
      <w:r>
        <w:rPr>
          <w:bCs/>
          <w:b/>
        </w:rPr>
        <w:t xml:space="preserve">United Kingdom London</w:t>
      </w:r>
      <w:r>
        <w:t xml:space="preserve"> </w:t>
      </w:r>
      <w:r>
        <w:t xml:space="preserve">serves as an intermediary between corporations seeking capital and investors willing to provide it. These professionals advise on mergers and acquisitions (M&amp;A), initial public offerings (IPOs), and complex debt structuring. Given London’s position as a gateway between European markets and the rest of the world, these</w:t>
      </w:r>
      <w:r>
        <w:t xml:space="preserve"> </w:t>
      </w:r>
      <w:r>
        <w:rPr>
          <w:bCs/>
          <w:b/>
        </w:rPr>
        <w:t xml:space="preserve">Bankers</w:t>
      </w:r>
      <w:r>
        <w:t xml:space="preserve"> </w:t>
      </w:r>
      <w:r>
        <w:t xml:space="preserve">play a crucial role in cross-border transactions. Their expertise is not limited to financial modeling; they must also navigate the intricate regulatory landscapes that define</w:t>
      </w:r>
      <w:r>
        <w:t xml:space="preserve"> </w:t>
      </w:r>
      <w:r>
        <w:rPr>
          <w:bCs/>
          <w:b/>
        </w:rPr>
        <w:t xml:space="preserve">United Kingdom London</w:t>
      </w:r>
      <w:r>
        <w:t xml:space="preserve">, particularly post-Brexit adjustments.</w:t>
      </w:r>
    </w:p>
    <w:bookmarkEnd w:id="23"/>
    <w:bookmarkStart w:id="24" w:name="b.-commercial-and-retail-banking"/>
    <w:p>
      <w:pPr>
        <w:pStyle w:val="Heading3"/>
      </w:pPr>
      <w:r>
        <w:t xml:space="preserve">B. Commercial and Retail Banking</w:t>
      </w:r>
    </w:p>
    <w:p>
      <w:pPr>
        <w:pStyle w:val="FirstParagraph"/>
      </w:pPr>
      <w:r>
        <w:t xml:space="preserve">On the retail side, the everyday</w:t>
      </w:r>
      <w:r>
        <w:t xml:space="preserve"> </w:t>
      </w:r>
      <w:r>
        <w:rPr>
          <w:bCs/>
          <w:b/>
        </w:rPr>
        <w:t xml:space="preserve">Banker</w:t>
      </w:r>
      <w:r>
        <w:t xml:space="preserve"> </w:t>
      </w:r>
      <w:r>
        <w:t xml:space="preserve">interacts with consumers and small-to-medium enterprises (SMEs). In</w:t>
      </w:r>
      <w:r>
        <w:t xml:space="preserve"> </w:t>
      </w:r>
      <w:r>
        <w:rPr>
          <w:bCs/>
          <w:b/>
        </w:rPr>
        <w:t xml:space="preserve">United Kingdom London</w:t>
      </w:r>
      <w:r>
        <w:t xml:space="preserve">, this sector is undergoing a digital transformation. While high-street banks have reduced physical branches, the need for personalized financial advice has not disappeared. Instead, it has evolved into a hybrid model where</w:t>
      </w:r>
      <w:r>
        <w:t xml:space="preserve"> </w:t>
      </w:r>
      <w:r>
        <w:rPr>
          <w:bCs/>
          <w:b/>
        </w:rPr>
        <w:t xml:space="preserve">Bankers</w:t>
      </w:r>
      <w:r>
        <w:t xml:space="preserve"> </w:t>
      </w:r>
      <w:r>
        <w:t xml:space="preserve">utilize data analytics to offer tailored products while maintaining regulatory compliance regarding anti-money laundering (AML) and know-your-customer (KYC) protocols.</w:t>
      </w:r>
    </w:p>
    <w:bookmarkEnd w:id="24"/>
    <w:bookmarkStart w:id="25" w:name="c.-private-banking-and-wealth-management"/>
    <w:p>
      <w:pPr>
        <w:pStyle w:val="Heading3"/>
      </w:pPr>
      <w:r>
        <w:t xml:space="preserve">C. Private Banking and Wealth Management</w:t>
      </w:r>
    </w:p>
    <w:p>
      <w:pPr>
        <w:pStyle w:val="FirstParagraph"/>
      </w:pPr>
      <w:r>
        <w:rPr>
          <w:bCs/>
          <w:b/>
        </w:rPr>
        <w:t xml:space="preserve">London</w:t>
      </w:r>
      <w:r>
        <w:t xml:space="preserve"> </w:t>
      </w:r>
      <w:r>
        <w:t xml:space="preserve">remains a top destination for High Net Worth Individuals (HNWIs). Consequently, the private</w:t>
      </w:r>
      <w:r>
        <w:t xml:space="preserve"> </w:t>
      </w:r>
      <w:r>
        <w:rPr>
          <w:bCs/>
          <w:b/>
        </w:rPr>
        <w:t xml:space="preserve">Banker</w:t>
      </w:r>
      <w:r>
        <w:t xml:space="preserve"> </w:t>
      </w:r>
      <w:r>
        <w:t xml:space="preserve">holds a unique position of trust and discretion. These professionals manage complex portfolios involving tax planning, estate management, and legacy preservation. The reputation of the UK’s banking sector relies heavily on the integrity and confidentiality exhibited by these individuals. In</w:t>
      </w:r>
      <w:r>
        <w:t xml:space="preserve"> </w:t>
      </w:r>
      <w:r>
        <w:rPr>
          <w:bCs/>
          <w:b/>
        </w:rPr>
        <w:t xml:space="preserve">United Kingdom London</w:t>
      </w:r>
      <w:r>
        <w:t xml:space="preserve">, a</w:t>
      </w:r>
      <w:r>
        <w:t xml:space="preserve"> </w:t>
      </w:r>
      <w:r>
        <w:rPr>
          <w:bCs/>
          <w:b/>
        </w:rPr>
        <w:t xml:space="preserve">Banker</w:t>
      </w:r>
      <w:r>
        <w:t xml:space="preserve">’s personal conduct is often viewed as a reflection of their institution’s brand, making ethical standards paramount.</w:t>
      </w:r>
    </w:p>
    <w:bookmarkEnd w:id="25"/>
    <w:bookmarkEnd w:id="26"/>
    <w:bookmarkStart w:id="27" w:name="Xd3e697af738a1ac31870402622b9ae1429b0040"/>
    <w:p>
      <w:pPr>
        <w:pStyle w:val="Heading2"/>
      </w:pPr>
      <w:r>
        <w:t xml:space="preserve">IV. Regulatory Framework and Ethical Standards</w:t>
      </w:r>
    </w:p>
    <w:p>
      <w:pPr>
        <w:pStyle w:val="FirstParagraph"/>
      </w:pPr>
      <w:r>
        <w:t xml:space="preserve">The financial crisis of 2008 served as a wake-up call for the global banking sector, leading to stringent reforms in</w:t>
      </w:r>
      <w:r>
        <w:t xml:space="preserve"> </w:t>
      </w:r>
      <w:r>
        <w:rPr>
          <w:bCs/>
          <w:b/>
        </w:rPr>
        <w:t xml:space="preserve">United Kingdom London</w:t>
      </w:r>
      <w:r>
        <w:t xml:space="preserve">. The Prudential Regulation Authority (PRA) and the Financial Conduct Authority (FCA) now oversee the activities of every</w:t>
      </w:r>
      <w:r>
        <w:t xml:space="preserve"> </w:t>
      </w:r>
      <w:r>
        <w:rPr>
          <w:bCs/>
          <w:b/>
        </w:rPr>
        <w:t xml:space="preserve">Banker</w:t>
      </w:r>
      <w:r>
        <w:t xml:space="preserve"> </w:t>
      </w:r>
      <w:r>
        <w:t xml:space="preserve">operating within this jurisdiction. These bodies ensure that</w:t>
      </w:r>
      <w:r>
        <w:t xml:space="preserve"> </w:t>
      </w:r>
      <w:r>
        <w:rPr>
          <w:bCs/>
          <w:b/>
        </w:rPr>
        <w:t xml:space="preserve">Bankers</w:t>
      </w:r>
      <w:r>
        <w:t xml:space="preserve"> </w:t>
      </w:r>
      <w:r>
        <w:t xml:space="preserve">adhere to strict capital adequacy requirements, transparency standards, and conduct rules.</w:t>
      </w:r>
    </w:p>
    <w:p>
      <w:pPr>
        <w:pStyle w:val="BodyText"/>
      </w:pPr>
      <w:r>
        <w:t xml:space="preserve">This regulatory environment has reshaped the culture of banking in London. Gone are the days of reckless risk-taking; today’s</w:t>
      </w:r>
      <w:r>
        <w:t xml:space="preserve"> </w:t>
      </w:r>
      <w:r>
        <w:rPr>
          <w:bCs/>
          <w:b/>
        </w:rPr>
        <w:t xml:space="preserve">Banker</w:t>
      </w:r>
      <w:r>
        <w:t xml:space="preserve"> </w:t>
      </w:r>
      <w:r>
        <w:t xml:space="preserve">is expected to demonstrate "conduct" that aligns with market integrity. The Senior Managers Regime (SMR) holds individual</w:t>
      </w:r>
      <w:r>
        <w:t xml:space="preserve"> </w:t>
      </w:r>
      <w:r>
        <w:rPr>
          <w:bCs/>
          <w:b/>
        </w:rPr>
        <w:t xml:space="preserve">Bankers</w:t>
      </w:r>
      <w:r>
        <w:t xml:space="preserve"> </w:t>
      </w:r>
      <w:r>
        <w:t xml:space="preserve">accountable for their specific areas of responsibility, ensuring that senior leadership cannot hide behind institutional anonymity. This shift underscores a broader trend in</w:t>
      </w:r>
      <w:r>
        <w:t xml:space="preserve"> </w:t>
      </w:r>
      <w:r>
        <w:rPr>
          <w:bCs/>
          <w:b/>
        </w:rPr>
        <w:t xml:space="preserve">United Kingdom London</w:t>
      </w:r>
      <w:r>
        <w:t xml:space="preserve">: the democratization of accountability within the banking sector.</w:t>
      </w:r>
    </w:p>
    <w:bookmarkEnd w:id="27"/>
    <w:bookmarkStart w:id="28" w:name="X58b5d47318d2e2b8e793ba8e89b50f2e480748b"/>
    <w:p>
      <w:pPr>
        <w:pStyle w:val="Heading2"/>
      </w:pPr>
      <w:r>
        <w:t xml:space="preserve">V. The Impact of Technology and Fintech Disruption</w:t>
      </w:r>
    </w:p>
    <w:p>
      <w:pPr>
        <w:pStyle w:val="FirstParagraph"/>
      </w:pPr>
      <w:r>
        <w:rPr>
          <w:bCs/>
          <w:b/>
        </w:rPr>
        <w:t xml:space="preserve">London</w:t>
      </w:r>
      <w:r>
        <w:t xml:space="preserve"> </w:t>
      </w:r>
      <w:r>
        <w:t xml:space="preserve">is also recognized as a global fintech hub. This technological revolution has altered the traditional role of the</w:t>
      </w:r>
      <w:r>
        <w:t xml:space="preserve"> </w:t>
      </w:r>
      <w:r>
        <w:rPr>
          <w:bCs/>
          <w:b/>
        </w:rPr>
        <w:t xml:space="preserve">Banker</w:t>
      </w:r>
      <w:r>
        <w:t xml:space="preserve">. Traditional banking functions are increasingly automated through algorithms and artificial intelligence. However, this does not render the human</w:t>
      </w:r>
      <w:r>
        <w:t xml:space="preserve"> </w:t>
      </w:r>
      <w:r>
        <w:rPr>
          <w:bCs/>
          <w:b/>
        </w:rPr>
        <w:t xml:space="preserve">Banker</w:t>
      </w:r>
      <w:r>
        <w:t xml:space="preserve"> </w:t>
      </w:r>
      <w:r>
        <w:t xml:space="preserve">obsolete; rather, it transforms their skill set.</w:t>
      </w:r>
    </w:p>
    <w:p>
      <w:pPr>
        <w:pStyle w:val="BodyText"/>
      </w:pPr>
      <w:r>
        <w:t xml:space="preserve">In modern</w:t>
      </w:r>
      <w:r>
        <w:t xml:space="preserve"> </w:t>
      </w:r>
      <w:r>
        <w:rPr>
          <w:bCs/>
          <w:b/>
        </w:rPr>
        <w:t xml:space="preserve">United Kingdom London</w:t>
      </w:r>
      <w:r>
        <w:t xml:space="preserve">, successful</w:t>
      </w:r>
      <w:r>
        <w:t xml:space="preserve"> </w:t>
      </w:r>
      <w:r>
        <w:rPr>
          <w:bCs/>
          <w:b/>
        </w:rPr>
        <w:t xml:space="preserve">Bankers</w:t>
      </w:r>
      <w:r>
        <w:t xml:space="preserve"> </w:t>
      </w:r>
      <w:r>
        <w:t xml:space="preserve">must possess a blend of financial acumen and technological literacy. They are no longer just calculators of interest rates but strategists who interpret data insights to advise clients on digital transformation, cybersecurity risks, and cryptocurrency investments. The collaboration between established banks and fintech startups in London highlights this synergy, where the experiential wisdom of the seasoned</w:t>
      </w:r>
      <w:r>
        <w:t xml:space="preserve"> </w:t>
      </w:r>
      <w:r>
        <w:rPr>
          <w:bCs/>
          <w:b/>
        </w:rPr>
        <w:t xml:space="preserve">Banker</w:t>
      </w:r>
      <w:r>
        <w:t xml:space="preserve"> </w:t>
      </w:r>
      <w:r>
        <w:t xml:space="preserve">meets the agility of modern technology.</w:t>
      </w:r>
    </w:p>
    <w:bookmarkEnd w:id="28"/>
    <w:bookmarkStart w:id="29" w:name="Xf01efc56f8a300f0988ab82b447523cdcd0c3be"/>
    <w:p>
      <w:pPr>
        <w:pStyle w:val="Heading2"/>
      </w:pPr>
      <w:r>
        <w:t xml:space="preserve">VI. Challenges Facing Contemporary Bankers</w:t>
      </w:r>
    </w:p>
    <w:p>
      <w:pPr>
        <w:pStyle w:val="FirstParagraph"/>
      </w:pPr>
      <w:r>
        <w:t xml:space="preserve">The landscape for a</w:t>
      </w:r>
      <w:r>
        <w:t xml:space="preserve"> </w:t>
      </w:r>
      <w:r>
        <w:rPr>
          <w:bCs/>
          <w:b/>
        </w:rPr>
        <w:t xml:space="preserve">Banker</w:t>
      </w:r>
      <w:r>
        <w:t xml:space="preserve"> </w:t>
      </w:r>
      <w:r>
        <w:t xml:space="preserve">in</w:t>
      </w:r>
      <w:r>
        <w:t xml:space="preserve"> </w:t>
      </w:r>
      <w:r>
        <w:rPr>
          <w:bCs/>
          <w:b/>
        </w:rPr>
        <w:t xml:space="preserve">London, United Kingdom</w:t>
      </w:r>
      <w:r>
        <w:t xml:space="preserve">, is fraught with challenges. Brexit has introduced complexities regarding passporting rights and market access, forcing many institutions to restructure their operations. Furthermore, the global push toward Environmental, Social, and Governance (ESG) investing requires</w:t>
      </w:r>
      <w:r>
        <w:t xml:space="preserve"> </w:t>
      </w:r>
      <w:r>
        <w:rPr>
          <w:bCs/>
          <w:b/>
        </w:rPr>
        <w:t xml:space="preserve">Bankers</w:t>
      </w:r>
      <w:r>
        <w:t xml:space="preserve"> </w:t>
      </w:r>
      <w:r>
        <w:t xml:space="preserve">to rethink how they allocate capital. There is growing pressure for</w:t>
      </w:r>
      <w:r>
        <w:t xml:space="preserve"> </w:t>
      </w:r>
      <w:r>
        <w:rPr>
          <w:bCs/>
          <w:b/>
        </w:rPr>
        <w:t xml:space="preserve">Bankers</w:t>
      </w:r>
      <w:r>
        <w:t xml:space="preserve"> </w:t>
      </w:r>
      <w:r>
        <w:t xml:space="preserve">in</w:t>
      </w:r>
      <w:r>
        <w:t xml:space="preserve"> </w:t>
      </w:r>
      <w:r>
        <w:rPr>
          <w:bCs/>
          <w:b/>
        </w:rPr>
        <w:t xml:space="preserve">London</w:t>
      </w:r>
      <w:r>
        <w:t xml:space="preserve"> </w:t>
      </w:r>
      <w:r>
        <w:t xml:space="preserve">to finance green projects and divest from fossil fuels.</w:t>
      </w:r>
    </w:p>
    <w:p>
      <w:pPr>
        <w:pStyle w:val="BodyText"/>
      </w:pPr>
      <w:r>
        <w:t xml:space="preserve">Additionally, the talent war is intense. Young professionals entering the banking sector in London expect more than just high salaries; they seek purpose, work-life balance, and inclusive workplace cultures. Adapting to these generational shifts is crucial for institutions wishing to retain top-tier</w:t>
      </w:r>
      <w:r>
        <w:t xml:space="preserve"> </w:t>
      </w:r>
      <w:r>
        <w:rPr>
          <w:bCs/>
          <w:b/>
        </w:rPr>
        <w:t xml:space="preserve">Bankers</w:t>
      </w:r>
      <w:r>
        <w:t xml:space="preserve">.</w:t>
      </w:r>
    </w:p>
    <w:bookmarkEnd w:id="29"/>
    <w:bookmarkStart w:id="30" w:name="vii.-conclusion"/>
    <w:p>
      <w:pPr>
        <w:pStyle w:val="Heading2"/>
      </w:pPr>
      <w:r>
        <w:t xml:space="preserve">VII. Conclusion</w:t>
      </w:r>
    </w:p>
    <w:p>
      <w:pPr>
        <w:pStyle w:val="FirstParagraph"/>
      </w:pPr>
      <w:r>
        <w:t xml:space="preserve">In conclusion, the profile of the</w:t>
      </w:r>
      <w:r>
        <w:t xml:space="preserve"> </w:t>
      </w:r>
      <w:r>
        <w:rPr>
          <w:bCs/>
          <w:b/>
        </w:rPr>
        <w:t xml:space="preserve">Banker</w:t>
      </w:r>
      <w:r>
        <w:t xml:space="preserve"> </w:t>
      </w:r>
      <w:r>
        <w:t xml:space="preserve">in this modern era is complex and dynamic. Operating within the prestigious context of a global financial center like London demands a unique combination of technical expertise, ethical integrity, and adaptability. From its historical roots in Lombard Street to its current status as a fintech-enabled hub,</w:t>
      </w:r>
      <w:r>
        <w:t xml:space="preserve"> </w:t>
      </w:r>
      <w:r>
        <w:rPr>
          <w:bCs/>
          <w:b/>
        </w:rPr>
        <w:t xml:space="preserve">London’s</w:t>
      </w:r>
      <w:r>
        <w:t xml:space="preserve"> </w:t>
      </w:r>
      <w:r>
        <w:t xml:space="preserve">banking sector continues to evolve. The</w:t>
      </w:r>
      <w:r>
        <w:t xml:space="preserve"> </w:t>
      </w:r>
      <w:r>
        <w:rPr>
          <w:bCs/>
          <w:b/>
        </w:rPr>
        <w:t xml:space="preserve">Banker</w:t>
      </w:r>
      <w:r>
        <w:t xml:space="preserve"> </w:t>
      </w:r>
      <w:r>
        <w:t xml:space="preserve">remains central to this evolution, acting as the bridge between capital and opportunity.</w:t>
      </w:r>
    </w:p>
    <w:p>
      <w:pPr>
        <w:pStyle w:val="BodyText"/>
      </w:pPr>
      <w:r>
        <w:t xml:space="preserve">As we look toward the future, it is evident that the influence of a well-trained and ethically grounded</w:t>
      </w:r>
      <w:r>
        <w:t xml:space="preserve"> </w:t>
      </w:r>
      <w:r>
        <w:rPr>
          <w:bCs/>
          <w:b/>
        </w:rPr>
        <w:t xml:space="preserve">Banker</w:t>
      </w:r>
      <w:r>
        <w:t xml:space="preserve">, embedded within the robust regulatory framework of London, will continue to shape not only local economic prosperity but also global financial stability. The synergy between tradition and innovation ensures that United Kingdom London will remain at the forefront of banking for decades to come.</w:t>
      </w:r>
    </w:p>
    <w:bookmarkEnd w:id="30"/>
    <w:bookmarkStart w:id="31" w:name="viii.-references-indicative"/>
    <w:p>
      <w:pPr>
        <w:pStyle w:val="Heading2"/>
      </w:pPr>
      <w:r>
        <w:t xml:space="preserve">VIII. References (Indicative)</w:t>
      </w:r>
    </w:p>
    <w:p>
      <w:pPr>
        <w:pStyle w:val="FirstParagraph"/>
      </w:pPr>
      <w:r>
        <w:rPr>
          <w:iCs/>
          <w:i/>
        </w:rPr>
        <w:t xml:space="preserve">Note: In a formal academic submission, specific citations would be included here according to Harvard or APA style guides.</w:t>
      </w:r>
    </w:p>
    <w:p>
      <w:pPr>
        <w:numPr>
          <w:ilvl w:val="0"/>
          <w:numId w:val="1001"/>
        </w:numPr>
        <w:pStyle w:val="Compact"/>
      </w:pPr>
      <w:r>
        <w:t xml:space="preserve">The Financial Conduct Authority. (2023). *Annual Report and Accounts 2022/23*.</w:t>
      </w:r>
    </w:p>
    <w:p>
      <w:pPr>
        <w:numPr>
          <w:ilvl w:val="0"/>
          <w:numId w:val="1001"/>
        </w:numPr>
        <w:pStyle w:val="Compact"/>
      </w:pPr>
      <w:r>
        <w:t xml:space="preserve">The Prudential Regulation Authority. (n.d.). *Banking Rules and Standards*.</w:t>
      </w:r>
    </w:p>
    <w:p>
      <w:pPr>
        <w:numPr>
          <w:ilvl w:val="0"/>
          <w:numId w:val="1001"/>
        </w:numPr>
        <w:pStyle w:val="Compact"/>
      </w:pPr>
      <w:r>
        <w:t xml:space="preserve">Bagehot, W. (1873). *Lombard Street: A Description of the Money Market*.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Banker in United Kingdom London</dc:title>
  <dc:creator/>
  <dc:language>en</dc:language>
  <cp:keywords/>
  <dcterms:created xsi:type="dcterms:W3CDTF">2026-07-29T19:52:16Z</dcterms:created>
  <dcterms:modified xsi:type="dcterms:W3CDTF">2026-07-29T19:52:16Z</dcterms:modified>
</cp:coreProperties>
</file>

<file path=docProps/custom.xml><?xml version="1.0" encoding="utf-8"?>
<Properties xmlns="http://schemas.openxmlformats.org/officeDocument/2006/custom-properties" xmlns:vt="http://schemas.openxmlformats.org/officeDocument/2006/docPropsVTypes"/>
</file>