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Netherlands</w:t>
      </w:r>
      <w:r>
        <w:t xml:space="preserve"> </w:t>
      </w:r>
      <w:r>
        <w:t xml:space="preserve">Amsterdam</w:t>
      </w:r>
    </w:p>
    <w:bookmarkStart w:id="36" w:name="X5969c4560db1319f61b1b7ba1c5e2a63f0cfc69"/>
    <w:p>
      <w:pPr>
        <w:pStyle w:val="Heading1"/>
      </w:pPr>
      <w:r>
        <w:t xml:space="preserve">The Strategic Imperative of the Business Consultant in Netherlands Amsterdam</w:t>
      </w:r>
    </w:p>
    <w:p>
      <w:pPr>
        <w:pStyle w:val="FirstParagraph"/>
      </w:pPr>
      <w:r>
        <w:rPr>
          <w:bCs/>
          <w:b/>
        </w:rPr>
        <w:t xml:space="preserve">Date:</w:t>
      </w:r>
      <w:r>
        <w:t xml:space="preserve"> </w:t>
      </w:r>
      <w:r>
        <w:t xml:space="preserve">October 26, 2023</w:t>
      </w:r>
      <w:r>
        <w:br/>
      </w:r>
      <w:r>
        <w:rPr>
          <w:bCs/>
          <w:b/>
        </w:rPr>
        <w:t xml:space="preserve">Degree Level:</w:t>
      </w:r>
      <w:r>
        <w:t xml:space="preserve">MSc/MBA Term Paper</w:t>
      </w:r>
      <w:r>
        <w:br/>
      </w:r>
      <w:r>
        <w:rPr>
          <w:bCs/>
          <w:b/>
        </w:rPr>
        <w:t xml:space="preserve">Draft Version:</w:t>
      </w:r>
      <w:r>
        <w:t xml:space="preserve">v1.0</w:t>
      </w:r>
    </w:p>
    <w:bookmarkStart w:id="20" w:name="abstract"/>
    <w:p>
      <w:pPr>
        <w:pStyle w:val="Heading2"/>
      </w:pPr>
      <w:r>
        <w:t xml:space="preserve">Abstract</w:t>
      </w:r>
    </w:p>
    <w:p>
      <w:pPr>
        <w:pStyle w:val="FirstParagraph"/>
      </w:pPr>
      <w:r>
        <w:t xml:space="preserve">In the rapidly evolving economic landscape of modern Europe,</w:t>
      </w:r>
      <w:r>
        <w:t xml:space="preserve"> </w:t>
      </w:r>
      <w:r>
        <w:rPr>
          <w:iCs/>
          <w:i/>
        </w:rPr>
        <w:t xml:space="preserve">Netherlands Amsterdam</w:t>
      </w:r>
      <w:r>
        <w:t xml:space="preserve"> </w:t>
      </w:r>
      <w:r>
        <w:t xml:space="preserve">stands as a beacon of innovation, stability, and global connectivity. As a premier hub for international trade, finance, and technology within the European Union, this city presents unique opportunities alongside complex challenges for enterprises. This term paper examines the critical role of the</w:t>
      </w:r>
      <w:r>
        <w:t xml:space="preserve"> </w:t>
      </w:r>
      <w:r>
        <w:rPr>
          <w:bCs/>
          <w:b/>
        </w:rPr>
        <w:t xml:space="preserve">Business Consultant</w:t>
      </w:r>
      <w:r>
        <w:t xml:space="preserve"> </w:t>
      </w:r>
      <w:r>
        <w:t xml:space="preserve">in navigating this dynamic environment. By analyzing regulatory frameworks such as Dutch labor laws and VAT regulations, cultural nuances including 'Polder Model' consensus-building, and digital transformation trends specific to Amsterdam's tech ecosystem, this study elucidates why professional consultancy is not merely a luxury but a strategic necessity for sustainable growth in</w:t>
      </w:r>
      <w:r>
        <w:t xml:space="preserve"> </w:t>
      </w:r>
      <w:r>
        <w:rPr>
          <w:iCs/>
          <w:i/>
        </w:rPr>
        <w:t xml:space="preserve">Netherlands Amsterdam</w:t>
      </w:r>
      <w:r>
        <w:t xml:space="preserve">.</w:t>
      </w:r>
    </w:p>
    <w:bookmarkEnd w:id="20"/>
    <w:bookmarkStart w:id="21" w:name="X48afbc7fc80773eb51436d7a4193e165fb424b4"/>
    <w:p>
      <w:pPr>
        <w:pStyle w:val="Heading2"/>
      </w:pPr>
      <w:r>
        <w:t xml:space="preserve">1. Introduction: The Economic Landscape of Netherlands Amsterdam</w:t>
      </w:r>
    </w:p>
    <w:p>
      <w:pPr>
        <w:pStyle w:val="FirstParagraph"/>
      </w:pPr>
      <w:r>
        <w:t xml:space="preserve">The city of</w:t>
      </w:r>
      <w:r>
        <w:t xml:space="preserve"> </w:t>
      </w:r>
      <w:r>
        <w:rPr>
          <w:iCs/>
          <w:i/>
        </w:rPr>
        <w:t xml:space="preserve">Netherlands Amsterdam</w:t>
      </w:r>
      <w:r>
        <w:t xml:space="preserve">, the capital and most populous city of the Kingdom, serves as the country's primary center for finance, commerce, and culture. Home to over 400 multinational headquarters and one of Europe's busiest ports, it offers a robust infrastructure that attracts global talent. However operating within</w:t>
      </w:r>
      <w:r>
        <w:t xml:space="preserve"> </w:t>
      </w:r>
      <w:r>
        <w:rPr>
          <w:iCs/>
          <w:i/>
        </w:rPr>
        <w:t xml:space="preserve">Netherlands Amsterdam</w:t>
      </w:r>
      <w:r>
        <w:t xml:space="preserve"> </w:t>
      </w:r>
      <w:r>
        <w:t xml:space="preserve">requires more than just capital; it demands intricate knowledge of local compliance, workforce management, and market dynamics.</w:t>
      </w:r>
    </w:p>
    <w:p>
      <w:pPr>
        <w:pStyle w:val="BodyText"/>
      </w:pPr>
      <w:r>
        <w:t xml:space="preserve">In this context, the</w:t>
      </w:r>
      <w:r>
        <w:t xml:space="preserve"> </w:t>
      </w:r>
      <w:r>
        <w:rPr>
          <w:bCs/>
          <w:b/>
        </w:rPr>
        <w:t xml:space="preserve">Business Consultant</w:t>
      </w:r>
      <w:r>
        <w:t xml:space="preserve"> </w:t>
      </w:r>
      <w:r>
        <w:t xml:space="preserve">emerges as a pivotal figure. A</w:t>
      </w:r>
      <w:r>
        <w:t xml:space="preserve"> </w:t>
      </w:r>
      <w:r>
        <w:rPr>
          <w:bCs/>
          <w:b/>
        </w:rPr>
        <w:t xml:space="preserve">Business Consultant</w:t>
      </w:r>
    </w:p>
    <w:bookmarkEnd w:id="21"/>
    <w:bookmarkStart w:id="24" w:name="X21dd34f3958e4a2590161dc6a21aa7f3ea9bfe0"/>
    <w:p>
      <w:pPr>
        <w:pStyle w:val="Heading2"/>
      </w:pPr>
      <w:r>
        <w:t xml:space="preserve">2. Navigating Regulatory Complexities: The Compliance Imperative</w:t>
      </w:r>
    </w:p>
    <w:p>
      <w:pPr>
        <w:pStyle w:val="FirstParagraph"/>
      </w:pPr>
      <w:r>
        <w:t xml:space="preserve">Dutch business law is renowned for its strict adherence to labor rights, environmental standards, and taxation protocols. For any enterprise looking to establish or expand operations in</w:t>
      </w:r>
      <w:r>
        <w:t xml:space="preserve"> </w:t>
      </w:r>
      <w:r>
        <w:rPr>
          <w:iCs/>
          <w:i/>
        </w:rPr>
        <w:t xml:space="preserve">Netherlands Amsterdam</w:t>
      </w:r>
      <w:r>
        <w:t xml:space="preserve">, navigating the legal framework can be daunting.</w:t>
      </w:r>
    </w:p>
    <w:bookmarkStart w:id="22" w:name="Xb994fdeeb2362eadda1df0a7842c450fc83b2e0"/>
    <w:p>
      <w:pPr>
        <w:pStyle w:val="Heading3"/>
      </w:pPr>
      <w:r>
        <w:t xml:space="preserve">2.1 Labor Law and Flexible Workforce Management</w:t>
      </w:r>
    </w:p>
    <w:p>
      <w:pPr>
        <w:pStyle w:val="FirstParagraph"/>
      </w:pPr>
      <w:r>
        <w:t xml:space="preserve">The Netherlands has robust regulations regarding employment contracts. The distinction between temporary agency workers, fixed-term employees, and permanent staff is strictly monitored by the Dutch Labour Authority (NLA). A</w:t>
      </w:r>
      <w:r>
        <w:t xml:space="preserve"> </w:t>
      </w:r>
      <w:r>
        <w:rPr>
          <w:bCs/>
          <w:b/>
        </w:rPr>
        <w:t xml:space="preserve">Business Consultant</w:t>
      </w:r>
      <w:r>
        <w:t xml:space="preserve">, specializing in HR strategy for Amsterdam firms, plays a crucial role in structuring workforces that are both compliant and flexible. This includes advising on 'uurdiensten' (hourly contracts) versus permanent positions to optimize costs while mitigating legal risks.</w:t>
      </w:r>
    </w:p>
    <w:bookmarkEnd w:id="22"/>
    <w:bookmarkStart w:id="23" w:name="taxation-and-value-added-tax-vat"/>
    <w:p>
      <w:pPr>
        <w:pStyle w:val="Heading3"/>
      </w:pPr>
      <w:r>
        <w:t xml:space="preserve">2.2 Taxation and Value Added Tax (VAT)</w:t>
      </w:r>
    </w:p>
    <w:p>
      <w:pPr>
        <w:pStyle w:val="FirstParagraph"/>
      </w:pPr>
      <w:r>
        <w:t xml:space="preserve">Fiscal policy in the Netherlands is highly structured. The general VAT rate is 21%, with reduced rates for specific goods and services. For international businesses entering</w:t>
      </w:r>
      <w:r>
        <w:t xml:space="preserve"> </w:t>
      </w:r>
      <w:r>
        <w:rPr>
          <w:iCs/>
          <w:i/>
        </w:rPr>
        <w:t xml:space="preserve">Netherlands Amsterdam</w:t>
      </w:r>
      <w:r>
        <w:t xml:space="preserve">, understanding VAT registration, reverse charge mechanisms, and transfer pricing regulations is essential to avoid penalties. A seasoned</w:t>
      </w:r>
      <w:r>
        <w:t xml:space="preserve"> </w:t>
      </w:r>
      <w:r>
        <w:rPr>
          <w:bCs/>
          <w:b/>
        </w:rPr>
        <w:t xml:space="preserve">Business Consultant</w:t>
      </w:r>
      <w:r>
        <w:t xml:space="preserve"> </w:t>
      </w:r>
      <w:r>
        <w:t xml:space="preserve">ensures that financial planning aligns with Dutch tax law, optimizing the fiscal position of the client within legal boundaries.</w:t>
      </w:r>
    </w:p>
    <w:bookmarkEnd w:id="23"/>
    <w:bookmarkEnd w:id="24"/>
    <w:bookmarkStart w:id="27" w:name="X9deb2370f90e05d0a50823cddc40c2e4ea38ab8"/>
    <w:p>
      <w:pPr>
        <w:pStyle w:val="Heading2"/>
      </w:pPr>
      <w:r>
        <w:t xml:space="preserve">3. Cultural Competency: The Polder Model and Consensus Building</w:t>
      </w:r>
    </w:p>
    <w:p>
      <w:pPr>
        <w:pStyle w:val="FirstParagraph"/>
      </w:pPr>
      <w:r>
        <w:t xml:space="preserve">A unique aspect of conducting business in Amsterdam is the cultural preference for egalitarianism and consensus. This is often referred to as the "Polder Model," a system of cooperation between employers, employees, and the government.</w:t>
      </w:r>
    </w:p>
    <w:bookmarkStart w:id="25" w:name="direct-communication-styles"/>
    <w:p>
      <w:pPr>
        <w:pStyle w:val="Heading3"/>
      </w:pPr>
      <w:r>
        <w:t xml:space="preserve">3.1 Direct Communication Styles</w:t>
      </w:r>
    </w:p>
    <w:p>
      <w:pPr>
        <w:pStyle w:val="FirstParagraph"/>
      </w:pPr>
      <w:r>
        <w:t xml:space="preserve">Dutch culture values directness and transparency. A</w:t>
      </w:r>
      <w:r>
        <w:t xml:space="preserve"> </w:t>
      </w:r>
      <w:r>
        <w:rPr>
          <w:bCs/>
          <w:b/>
        </w:rPr>
        <w:t xml:space="preserve">Business Consultant</w:t>
      </w:r>
      <w:r>
        <w:t xml:space="preserve">, particularly one operating internationally in Amsterdam, must adapt to this style while facilitating smoother operations for foreign investors who may be accustomed to more hierarchical or indirect communication styles. Effective consultants act as cultural intermediaries, translating not just language, but behavioral expectations in boardrooms and negotiation tables.</w:t>
      </w:r>
    </w:p>
    <w:bookmarkEnd w:id="25"/>
    <w:bookmarkStart w:id="26" w:name="stakeholder-engagement"/>
    <w:p>
      <w:pPr>
        <w:pStyle w:val="Heading3"/>
      </w:pPr>
      <w:r>
        <w:t xml:space="preserve">3.2 Stakeholder Engagement</w:t>
      </w:r>
    </w:p>
    <w:p>
      <w:pPr>
        <w:pStyle w:val="FirstParagraph"/>
      </w:pPr>
      <w:r>
        <w:t xml:space="preserve">In Amsterdam, successful projects often require buy-in from various stakeholders before execution. A</w:t>
      </w:r>
      <w:r>
        <w:t xml:space="preserve"> </w:t>
      </w:r>
      <w:r>
        <w:rPr>
          <w:bCs/>
          <w:b/>
        </w:rPr>
        <w:t xml:space="preserve">Business Consultant</w:t>
      </w:r>
      <w:r>
        <w:t xml:space="preserve">, understands the importance of this consensus-driven approach and advises clients on how to structure their engagement strategies to include municipal bodies, local communities, and employee representatives early in the process.</w:t>
      </w:r>
    </w:p>
    <w:bookmarkEnd w:id="26"/>
    <w:bookmarkEnd w:id="27"/>
    <w:bookmarkStart w:id="30" w:name="X2528c7c4a9174508c9bd369225367358db26f46"/>
    <w:p>
      <w:pPr>
        <w:pStyle w:val="Heading2"/>
      </w:pPr>
      <w:r>
        <w:t xml:space="preserve">4. Digital Transformation in a Smart City Ecosystem</w:t>
      </w:r>
    </w:p>
    <w:p>
      <w:pPr>
        <w:pStyle w:val="FirstParagraph"/>
      </w:pPr>
      <w:r>
        <w:rPr>
          <w:iCs/>
          <w:i/>
        </w:rPr>
        <w:t xml:space="preserve">Netherlands Amsterdam</w:t>
      </w:r>
      <w:r>
        <w:t xml:space="preserve"> </w:t>
      </w:r>
      <w:r>
        <w:t xml:space="preserve">is positioning itself as a leading digital hub. The city hosts numerous startups and established tech giants alike, fostering an environment where digital transformation is not optional but inevitable.</w:t>
      </w:r>
    </w:p>
    <w:bookmarkStart w:id="28" w:name="adoption-of-technology"/>
    <w:p>
      <w:pPr>
        <w:pStyle w:val="Heading3"/>
      </w:pPr>
      <w:r>
        <w:t xml:space="preserve">4.1 Adoption of Technology</w:t>
      </w:r>
    </w:p>
    <w:p>
      <w:pPr>
        <w:pStyle w:val="FirstParagraph"/>
      </w:pPr>
      <w:r>
        <w:t xml:space="preserve">A</w:t>
      </w:r>
      <w:r>
        <w:t xml:space="preserve"> </w:t>
      </w:r>
      <w:r>
        <w:rPr>
          <w:bCs/>
          <w:b/>
        </w:rPr>
        <w:t xml:space="preserve">Business Consultant</w:t>
      </w:r>
      <w:r>
        <w:t xml:space="preserve">, specializing in digital strategy helps traditional firms integrate technologies such as Artificial Intelligence, blockchain, and data analytics into their core operations. Given Amsterdam's high connectivity and digital literacy rate among its population, businesses must leverage these tools to remain competitive.</w:t>
      </w:r>
    </w:p>
    <w:bookmarkEnd w:id="28"/>
    <w:bookmarkStart w:id="29" w:name="sustainability-initiatives"/>
    <w:p>
      <w:pPr>
        <w:pStyle w:val="Heading3"/>
      </w:pPr>
      <w:r>
        <w:t xml:space="preserve">4.2 Sustainability Initiatives</w:t>
      </w:r>
    </w:p>
    <w:p>
      <w:pPr>
        <w:pStyle w:val="FirstParagraph"/>
      </w:pPr>
      <w:r>
        <w:t xml:space="preserve">Sustainability is deeply embedded in the ethos of</w:t>
      </w:r>
      <w:r>
        <w:t xml:space="preserve"> </w:t>
      </w:r>
      <w:r>
        <w:rPr>
          <w:iCs/>
          <w:i/>
        </w:rPr>
        <w:t xml:space="preserve">Netherlands Amsterdam</w:t>
      </w:r>
      <w:r>
        <w:t xml:space="preserve">. The city has ambitious goals regarding carbon neutrality and green energy. A forward-thinking</w:t>
      </w:r>
      <w:r>
        <w:t xml:space="preserve"> </w:t>
      </w:r>
      <w:r>
        <w:rPr>
          <w:bCs/>
          <w:b/>
        </w:rPr>
        <w:t xml:space="preserve">Business Consultant</w:t>
      </w:r>
      <w:r>
        <w:t xml:space="preserve">, assists companies in developing ESG (Environmental, Social, and Governance) frameworks that align with these municipal goals. This includes advising on sustainable supply chains, reducing carbon footprints, and leveraging green financing opportunities available in the Dutch market.</w:t>
      </w:r>
    </w:p>
    <w:bookmarkEnd w:id="29"/>
    <w:bookmarkEnd w:id="30"/>
    <w:bookmarkStart w:id="33" w:name="X82a8496dda5bfb56259505a7fcb460da16e5e60"/>
    <w:p>
      <w:pPr>
        <w:pStyle w:val="Heading2"/>
      </w:pPr>
      <w:r>
        <w:t xml:space="preserve">5. Market Entry Strategies for International Enterprises</w:t>
      </w:r>
    </w:p>
    <w:p>
      <w:pPr>
        <w:pStyle w:val="FirstParagraph"/>
      </w:pPr>
      <w:r>
        <w:t xml:space="preserve">The influx of international businesses into Amsterdam creates a high demand for advisory services that bridge the gap between foreign corporate culture and local operational realities.</w:t>
      </w:r>
    </w:p>
    <w:bookmarkStart w:id="31" w:name="strategic-partnership-formation"/>
    <w:p>
      <w:pPr>
        <w:pStyle w:val="Heading3"/>
      </w:pPr>
      <w:r>
        <w:t xml:space="preserve">5.1 Strategic Partnership Formation</w:t>
      </w:r>
    </w:p>
    <w:p>
      <w:pPr>
        <w:pStyle w:val="FirstParagraph"/>
      </w:pPr>
      <w:r>
        <w:t xml:space="preserve">A</w:t>
      </w:r>
      <w:r>
        <w:t xml:space="preserve"> </w:t>
      </w:r>
      <w:r>
        <w:rPr>
          <w:bCs/>
          <w:b/>
        </w:rPr>
        <w:t xml:space="preserve">Business Consultant</w:t>
      </w:r>
      <w:r>
        <w:t xml:space="preserve">, facilitates network building in Amsterdam, connecting foreign firms with local partners, suppliers, and distributors. The dense business ecosystem allows for synergistic partnerships that can accelerate market penetration.</w:t>
      </w:r>
    </w:p>
    <w:bookmarkEnd w:id="31"/>
    <w:bookmarkStart w:id="32" w:name="localization-of-products-and-services"/>
    <w:p>
      <w:pPr>
        <w:pStyle w:val="Heading3"/>
      </w:pPr>
      <w:r>
        <w:t xml:space="preserve">5.2 Localization of Products and Services</w:t>
      </w:r>
    </w:p>
    <w:p>
      <w:pPr>
        <w:pStyle w:val="FirstParagraph"/>
      </w:pPr>
      <w:r>
        <w:t xml:space="preserve">To succeed in</w:t>
      </w:r>
      <w:r>
        <w:t xml:space="preserve"> </w:t>
      </w:r>
      <w:r>
        <w:rPr>
          <w:iCs/>
          <w:i/>
        </w:rPr>
        <w:t xml:space="preserve">Netherlands Amsterdam</w:t>
      </w:r>
      <w:r>
        <w:t xml:space="preserve">, products must be localized not just linguistically but culturally and functionally. Consultants provide insights into consumer behavior specific to the Dutch demographic, ensuring that marketing campaigns resonate with local values such as sustainability, efficiency, and inclusivity.</w:t>
      </w:r>
    </w:p>
    <w:bookmarkEnd w:id="32"/>
    <w:bookmarkEnd w:id="33"/>
    <w:bookmarkStart w:id="34" w:name="conclusion"/>
    <w:p>
      <w:pPr>
        <w:pStyle w:val="Heading2"/>
      </w:pPr>
      <w:r>
        <w:t xml:space="preserve">6. Conclusion</w:t>
      </w:r>
    </w:p>
    <w:p>
      <w:pPr>
        <w:pStyle w:val="FirstParagraph"/>
      </w:pPr>
      <w:r>
        <w:t xml:space="preserve">The role of the</w:t>
      </w:r>
      <w:r>
        <w:t xml:space="preserve"> </w:t>
      </w:r>
      <w:r>
        <w:rPr>
          <w:bCs/>
          <w:b/>
        </w:rPr>
        <w:t xml:space="preserve">Business Consultant</w:t>
      </w:r>
      <w:r>
        <w:t xml:space="preserve">, in</w:t>
      </w:r>
      <w:r>
        <w:t xml:space="preserve"> </w:t>
      </w:r>
      <w:r>
        <w:rPr>
          <w:iCs/>
          <w:i/>
        </w:rPr>
        <w:t xml:space="preserve">Netherlands Amsterdam</w:t>
      </w:r>
      <w:r>
        <w:t xml:space="preserve">, extends far beyond traditional advisory roles. In a city characterized by its vibrant economy, strict regulatory environment, and unique cultural norms, consultants serve as essential navigators.</w:t>
      </w:r>
    </w:p>
    <w:p>
      <w:pPr>
        <w:pStyle w:val="BodyText"/>
      </w:pPr>
      <w:r>
        <w:t xml:space="preserve">This term paper has highlighted that success in Amsterdam requires a multifaceted approach: compliance with complex labor and tax laws; adaptation to the direct, consensus-based 'Polder' culture; embracing digital transformation aligned with sustainability goals; and strategic networking. For any enterprise operating or looking to enter</w:t>
      </w:r>
      <w:r>
        <w:t xml:space="preserve"> </w:t>
      </w:r>
      <w:r>
        <w:rPr>
          <w:iCs/>
          <w:i/>
        </w:rPr>
        <w:t xml:space="preserve">Netherlands Amsterdam</w:t>
      </w:r>
      <w:r>
        <w:t xml:space="preserve">, partnering with an experienced</w:t>
      </w:r>
      <w:r>
        <w:t xml:space="preserve"> </w:t>
      </w:r>
      <w:r>
        <w:rPr>
          <w:bCs/>
          <w:b/>
        </w:rPr>
        <w:t xml:space="preserve">Business Consultant</w:t>
      </w:r>
      <w:r>
        <w:t xml:space="preserve">, is not merely a supportive measure but a fundamental component of a robust business strategy. As the city continues to evolve as a global economic powerhouse, the demand for specialized consulting expertise will only continue to rise.</w:t>
      </w:r>
    </w:p>
    <w:bookmarkEnd w:id="34"/>
    <w:bookmarkStart w:id="35" w:name="references-representative"/>
    <w:p>
      <w:pPr>
        <w:pStyle w:val="Heading2"/>
      </w:pPr>
      <w:r>
        <w:t xml:space="preserve">References (Representative)</w:t>
      </w:r>
    </w:p>
    <w:p>
      <w:pPr>
        <w:numPr>
          <w:ilvl w:val="0"/>
          <w:numId w:val="1001"/>
        </w:numPr>
        <w:pStyle w:val="Compact"/>
      </w:pPr>
      <w:r>
        <w:t xml:space="preserve">Dutch Chamber of Commerce (KVK). Annual Report on Business Environment in Amsterdam.</w:t>
      </w:r>
    </w:p>
    <w:p>
      <w:pPr>
        <w:numPr>
          <w:ilvl w:val="0"/>
          <w:numId w:val="1001"/>
        </w:numPr>
        <w:pStyle w:val="Compact"/>
      </w:pPr>
      <w:r>
        <w:t xml:space="preserve">Netherlands Enterprise Agency (RVO). Guidelines for Foreign Investment and Taxation.</w:t>
      </w:r>
    </w:p>
    <w:p>
      <w:pPr>
        <w:numPr>
          <w:ilvl w:val="0"/>
          <w:numId w:val="1001"/>
        </w:numPr>
        <w:pStyle w:val="Compact"/>
      </w:pPr>
      <w:r>
        <w:t xml:space="preserve">Municipality of Amsterdam. Sustainability and Digital Strategy 2030.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Netherlands Amsterdam</dc:title>
  <dc:creator/>
  <dc:language>en</dc:language>
  <cp:keywords/>
  <dcterms:created xsi:type="dcterms:W3CDTF">2026-07-29T16:17:24Z</dcterms:created>
  <dcterms:modified xsi:type="dcterms:W3CDTF">2026-07-29T16:17:24Z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