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0" w:name="Xee3db85854507c1d59143214450e8c4703dfa5f"/>
    <w:p>
      <w:pPr>
        <w:pStyle w:val="Heading1"/>
      </w:pPr>
      <w:r>
        <w:t xml:space="preserve">Term Paper: The Strategic Role of the Computer Engineer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Faculty of Engineering</w:t>
      </w:r>
      <w:r>
        <w:br/>
      </w:r>
    </w:p>
    <w:p>
      <w:pPr>
        <w:pStyle w:val="BodyText"/>
      </w:pPr>
      <w:r>
        <w:t xml:space="preserve">Situation Analysis:.Abstract. Introduction. The Context: Technology in Venezuela Caracas. Key Areas of Impact for Computer Engineers1 Financial Technology and Digital Banking2 Healthcare Informatics3 Educational Technology. Challenges and Future Outlook. Conclusion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Computer Engineer in Venezuela Caracas</dc:title>
  <dc:creator/>
  <dc:language>en</dc:language>
  <cp:keywords/>
  <dcterms:created xsi:type="dcterms:W3CDTF">2026-07-29T04:26:41Z</dcterms:created>
  <dcterms:modified xsi:type="dcterms:W3CDTF">2026-07-29T04:26:41Z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