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Australia</w:t>
      </w:r>
      <w:r>
        <w:t xml:space="preserve"> </w:t>
      </w:r>
      <w:r>
        <w:t xml:space="preserve">Melbourne:</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Impact,</w:t>
      </w:r>
      <w:r>
        <w:t xml:space="preserve"> </w:t>
      </w:r>
      <w:r>
        <w:t xml:space="preserve">and</w:t>
      </w:r>
      <w:r>
        <w:t xml:space="preserve"> </w:t>
      </w:r>
      <w:r>
        <w:t xml:space="preserve">Professional</w:t>
      </w:r>
      <w:r>
        <w:t xml:space="preserve"> </w:t>
      </w:r>
      <w:r>
        <w:t xml:space="preserve">Regulation</w:t>
      </w:r>
    </w:p>
    <w:bookmarkStart w:id="28" w:name="X793544547dfb39d4e51e1fbdd4b8748434cb1ad"/>
    <w:p>
      <w:pPr>
        <w:pStyle w:val="Heading1"/>
      </w:pPr>
      <w:r>
        <w:t xml:space="preserve">The Evolving Role of the Dietitian in Australia Melbourne</w:t>
      </w:r>
    </w:p>
    <w:p>
      <w:pPr>
        <w:pStyle w:val="FirstParagraph"/>
      </w:pPr>
      <w:r>
        <w:t xml:space="preserve">A Term Paper on Professional Practice and Public Health Impact</w:t>
      </w:r>
      <w:r>
        <w:br/>
      </w:r>
      <w:r>
        <w:br/>
      </w:r>
      <w:r>
        <w:rPr>
          <w:bCs/>
          <w:b/>
        </w:rPr>
        <w:t xml:space="preserve">Date:</w:t>
      </w:r>
      <w:r>
        <w:t xml:space="preserve"> </w:t>
      </w:r>
      <w:r>
        <w:t xml:space="preserve">October 2023</w:t>
      </w:r>
      <w:r>
        <w:br/>
      </w:r>
      <w:r>
        <w:rPr>
          <w:bCs/>
          <w:b/>
        </w:rPr>
        <w:t xml:space="preserve">Institution:</w:t>
      </w:r>
      <w:r>
        <w:t xml:space="preserve"> </w:t>
      </w:r>
      <w:r>
        <w:t xml:space="preserve">University of Melbourne Context</w:t>
      </w:r>
    </w:p>
    <w:bookmarkStart w:id="20" w:name="X8d3465142450652192d91936d13f927a0fc24f1"/>
    <w:p>
      <w:pPr>
        <w:pStyle w:val="Heading2"/>
      </w:pPr>
      <w:r>
        <w:t xml:space="preserve">I. Introduction: The Critical Need for Specialized Nutrition in Australia Melbourne</w:t>
      </w:r>
    </w:p>
    <w:p>
      <w:pPr>
        <w:pStyle w:val="FirstParagraph"/>
      </w:pPr>
      <w:r>
        <w:t xml:space="preserve">Nutrition stands as the cornerstone of preventive medicine and chronic disease management, yet its translation into clinical practice often requires specialized expertise. In Australia Melbourne, a city characterized by rapid urban growth, diverse cultural demographics, and an increasing prevalence of lifestyle-related diseases such as obesity, type 2 diabetes, and cardiovascular conditions (1), the role of the dietitian has never been more critical. A dietitian is not merely a consultant on food; they are allied health professionals who apply scientific principles to assess nutritional needs, design therapeutic dietary interventions, and provide evidence-based education. This term paper explores the multifaceted role of a dietitian within the Australian Melbourne context, examining their clinical contributions, public health influence, regulatory frameworks under Dietitians Australia (DA), and the unique challenges posed by Melbourne’s multicultural landscape. Understanding these dimensions reveals why engaging a qualified dietitian is essential for both individual health optimization and broader community well-being in this dynamic Australian city.</w:t>
      </w:r>
    </w:p>
    <w:bookmarkEnd w:id="20"/>
    <w:bookmarkStart w:id="21" w:name="X6a5ce91a77d897e3a85b9f735c1b0e0327c6942"/>
    <w:p>
      <w:pPr>
        <w:pStyle w:val="Heading2"/>
      </w:pPr>
      <w:r>
        <w:t xml:space="preserve">II. The Professional Definition and Regulatory Framework</w:t>
      </w:r>
    </w:p>
    <w:p>
      <w:pPr>
        <w:pStyle w:val="FirstParagraph"/>
      </w:pPr>
      <w:r>
        <w:t xml:space="preserve">To fully appreciate the value of a dietitian, one must first distinguish their role from that of a nutritionist or health coach. In Australia, while the title "nutritionist" is not strictly regulated, "dietitian" is protected under professional standards enforced by Dietitians Australia (DA). A registered dietitian in Melbourne has completed an accredited university degree involving extensive coursework in biochemistry, physiology, clinical medicine, and behavioral science (2). Furthermore they must adhere to a strict Code of Professional Conduct and engage in continuous professional development. This rigorous training ensures that when an individual or institution engages a dietitian for dietary advice it is grounded in evidence rather than anecdotal trends.</w:t>
      </w:r>
    </w:p>
    <w:p>
      <w:pPr>
        <w:pStyle w:val="BodyText"/>
      </w:pPr>
      <w:r>
        <w:t xml:space="preserve">In Australia Melbourne, this regulatory assurance is particularly vital given the saturation of unregulated wellness industries. Consumers seeking guidance for complex medical conditions such as irritable bowel syndrome (IBS), renal failure, or food allergies require the clinical authority that only a registered dietitian possesses. Their ability to interpret medical records, collaborate with physicians and pharmacists, and implement safe nutritional therapies distinguishes them from non-clinical wellness practitioners. Consequently the legal and professional framework governing dietitians in Australia Melbourne provides a necessary safeguard for patient safety.</w:t>
      </w:r>
    </w:p>
    <w:bookmarkEnd w:id="21"/>
    <w:bookmarkStart w:id="22" w:name="Xab58fc95076381394b336f3d71e48f34e2afac6"/>
    <w:p>
      <w:pPr>
        <w:pStyle w:val="Heading2"/>
      </w:pPr>
      <w:r>
        <w:t xml:space="preserve">III. Clinical Applications in Healthcare Settings</w:t>
      </w:r>
    </w:p>
    <w:p>
      <w:pPr>
        <w:pStyle w:val="FirstParagraph"/>
      </w:pPr>
      <w:r>
        <w:t xml:space="preserve">Dietitians play an integral role within the Australian healthcare system, particularly in Melbourne’s major hospital networks such as The Royal Melbourne Hospital and Alfred Health. In these acute care settings a dietitian works closely with multidisciplinary teams to manage patients who are malnourished post-surgery or managing chronic metabolic disorders. For instance a dietitian might calculate precise energy requirements for a critically ill patient, adjusting macronutrient ratios to support tissue repair while monitoring electrolyte balance (3). Such interventions directly impact hospital length of stay and readmission rates highlighting the cost-effective nature of early dietitian intervention.</w:t>
      </w:r>
    </w:p>
    <w:p>
      <w:pPr>
        <w:pStyle w:val="BodyText"/>
      </w:pPr>
      <w:r>
        <w:t xml:space="preserve">Beyond acute care outpatient clinics across Australia Melbourne offer specialized services. Dietitians frequently manage pediatric growth disorders, ensuring that children with feeding difficulties or metabolic diseases receive adequate nutrition for development. In oncology support they address cancer cachexia and treatment-induced gastrointestinal side effects improving quality of life during chemotherapy or radiation therapy (4). These clinical applications demonstrate that a dietitian’s scope extends far beyond simple meal planning; they are medical experts who utilize food as a primary therapeutic tool to alleviate symptoms and improve physiological outcomes.</w:t>
      </w:r>
    </w:p>
    <w:bookmarkEnd w:id="22"/>
    <w:bookmarkStart w:id="23" w:name="Xfb18decaf090e62cd3d2fbdd4d1976aa51b65a1"/>
    <w:p>
      <w:pPr>
        <w:pStyle w:val="Heading2"/>
      </w:pPr>
      <w:r>
        <w:t xml:space="preserve">IV. Public Health Initiatives and Community Engagement</w:t>
      </w:r>
    </w:p>
    <w:p>
      <w:pPr>
        <w:pStyle w:val="FirstParagraph"/>
      </w:pPr>
      <w:r>
        <w:t xml:space="preserve">The impact of a dietitian in Australia Melbourne extends significantly into the public health sector. With obesity rates climbing nationally community-based interventions led by dietitians are crucial for shifting population health trajectories. In Melbourne, local councils often partner with registered dietitians to deliver educational programs focusing on affordable healthy eating amidst rising food costs (5). These initiatives target vulnerable populations including low-income families, elderly individuals living alone and recent migrants who may face barriers to accessing nutritious food.</w:t>
      </w:r>
    </w:p>
    <w:p>
      <w:pPr>
        <w:pStyle w:val="BodyText"/>
      </w:pPr>
      <w:r>
        <w:t xml:space="preserve">Moreover school-based programs spearheaded by dietitians contribute to long-term behavioral change. By designing curricula that teach children how to read food labels and prepare balanced meals practitioners combat the normalization of ultra-processed foods (6). Such preventative strategies reduce the future burden on the healthcare system by addressing root causes rather than symptoms. Additionally during public health crises such as pandemics dietitians have provided essential guidance on immune-supportive nutrition emphasizing vitamins D, C, and zinc sources relevant to Australian dietary patterns (7). Thus their proactive engagement in community settings underscores their role as agents of social change.</w:t>
      </w:r>
    </w:p>
    <w:bookmarkEnd w:id="23"/>
    <w:bookmarkStart w:id="24" w:name="X514995d9b7b06a8546b5a1ef4bee27e518475a1"/>
    <w:p>
      <w:pPr>
        <w:pStyle w:val="Heading2"/>
      </w:pPr>
      <w:r>
        <w:t xml:space="preserve">V. Cultural Competence and Dietary Diversity</w:t>
      </w:r>
    </w:p>
    <w:p>
      <w:pPr>
        <w:pStyle w:val="FirstParagraph"/>
      </w:pPr>
      <w:r>
        <w:t xml:space="preserve">Melbourne is renowned for its rich cultural diversity with nearly half of its residents born overseas or having at least one parent born abroad (8). This demographic reality presents both opportunities and challenges for dietitians practicing in this region. A competent dietitian must possess high levels of cultural competence to tailor dietary advice that respects traditional culinary practices while meeting biomedical requirements. For example when working with clients from Middle Eastern, Asian or Mediterranean backgrounds a dietitian might modify standard Australian dietary guidelines to incorporate familiar ingredients like hummus, tempeh or olives thereby enhancing adherence (9).</w:t>
      </w:r>
    </w:p>
    <w:p>
      <w:pPr>
        <w:pStyle w:val="BodyText"/>
      </w:pPr>
      <w:r>
        <w:t xml:space="preserve">Furthermore addressing food insecurity among refugee populations requires sensitivity and knowledge of local support networks. Dietitians often collaborate with community organizations to identify culturally appropriate free or low-cost resources ensuring that dietary recommendations are feasible rather than theoretical (10). By honoring cultural identities alongside medical needs a dietitian fosters trust and empowers individuals from diverse backgrounds to take control of their health without compromising their heritage.</w:t>
      </w:r>
    </w:p>
    <w:bookmarkEnd w:id="24"/>
    <w:bookmarkStart w:id="25" w:name="Xd1e43cf0dc258e42ce0fef82a65832b413a9ae8"/>
    <w:p>
      <w:pPr>
        <w:pStyle w:val="Heading2"/>
      </w:pPr>
      <w:r>
        <w:t xml:space="preserve">VI. Future Directions and Technological Integration</w:t>
      </w:r>
    </w:p>
    <w:p>
      <w:pPr>
        <w:pStyle w:val="FirstParagraph"/>
      </w:pPr>
      <w:r>
        <w:t xml:space="preserve">The future landscape for a dietitian in Australia Melbourne promises further integration with digital health technologies. Telehealth platforms have become permanent fixtures post-pandemic enabling remote consultations that increase accessibility especially for rural clients connected to Melbourne’s central referral networks (11). Artificial intelligence tools are now being utilized to analyze dietary intake data more efficiently allowing dietitians to focus on counseling aspects of their role rather than manual logging tasks (12).</w:t>
      </w:r>
    </w:p>
    <w:p>
      <w:pPr>
        <w:pStyle w:val="BodyText"/>
      </w:pPr>
      <w:r>
        <w:t xml:space="preserve">Sustainability also represents a growing frontier. As environmental concerns rise so does demand for sustainable eating practices. Dietitians are increasingly tasked with educating clients on reducing food waste selecting seasonal produce available in Victorian markets and minimizing carbon footprints associated with protein choices (13). This holistic approach aligns personal health goals with planetary stewardship reflecting modern societal values.</w:t>
      </w:r>
    </w:p>
    <w:bookmarkEnd w:id="25"/>
    <w:bookmarkStart w:id="26" w:name="vii.-conclusion"/>
    <w:p>
      <w:pPr>
        <w:pStyle w:val="Heading2"/>
      </w:pPr>
      <w:r>
        <w:t xml:space="preserve">VII. Conclusion</w:t>
      </w:r>
    </w:p>
    <w:p>
      <w:pPr>
        <w:pStyle w:val="FirstParagraph"/>
      </w:pPr>
      <w:r>
        <w:t xml:space="preserve">In conclusion the profession of a dietitian in Australia Melbourne encompasses far more than basic dietary instruction; it represents a sophisticated blend of clinical science, public health advocacy, and cultural sensitivity. From managing complex pathologies within hospital wards to leading community-wide wellness campaigns these professionals are indispensable assets to society’s health infrastructure (14). Their regulated status ensures accountability while their adaptability allows them to address emerging challenges ranging from chronic disease epidemics to environmental sustainability.</w:t>
      </w:r>
    </w:p>
    <w:p>
      <w:pPr>
        <w:pStyle w:val="BodyText"/>
      </w:pPr>
      <w:r>
        <w:t xml:space="preserve">As Melbourne continues to evolve so too will the scope of practice for its dietitians who must remain agile in adopting new research findings and technological innovations. Investing in accessible dietetic services benefits individuals by improving their quality of life and yields substantial economic returns through reduced healthcare expenditures (15). Therefore recognizing, supporting and expanding access to qualified dietitians remains a priority for policymakers stakeholders aiming to enhance the overall wellbeing of Australia Melbourne’s population.</w:t>
      </w:r>
    </w:p>
    <w:bookmarkEnd w:id="26"/>
    <w:bookmarkStart w:id="27" w:name="viii.-references"/>
    <w:p>
      <w:pPr>
        <w:pStyle w:val="Heading2"/>
      </w:pPr>
      <w:r>
        <w:t xml:space="preserve">VIII. References</w:t>
      </w:r>
    </w:p>
    <w:p>
      <w:pPr>
        <w:numPr>
          <w:ilvl w:val="0"/>
          <w:numId w:val="1001"/>
        </w:numPr>
        <w:pStyle w:val="Compact"/>
      </w:pPr>
      <w:r>
        <w:rPr>
          <w:bCs/>
          <w:b/>
        </w:rPr>
        <w:t xml:space="preserve">[1]</w:t>
      </w:r>
      <w:r>
        <w:rPr>
          <w:iCs/>
          <w:i/>
        </w:rPr>
        <w:t xml:space="preserve">Australian Bureau of Statistics (ABS).</w:t>
      </w:r>
      <w:r>
        <w:t xml:space="preserve"> </w:t>
      </w:r>
      <w:r>
        <w:t xml:space="preserve">National Health Survey: First Results, Australia, 2017-18. Canberra: ABS; 2019.</w:t>
      </w:r>
    </w:p>
    <w:p>
      <w:pPr>
        <w:numPr>
          <w:ilvl w:val="0"/>
          <w:numId w:val="1001"/>
        </w:numPr>
        <w:pStyle w:val="Compact"/>
      </w:pPr>
      <w:r>
        <w:rPr>
          <w:bCs/>
          <w:b/>
        </w:rPr>
        <w:t xml:space="preserve">[2]</w:t>
      </w:r>
      <w:r>
        <w:rPr>
          <w:iCs/>
          <w:i/>
        </w:rPr>
        <w:t xml:space="preserve">Dietitians Australia.</w:t>
      </w:r>
      <w:r>
        <w:t xml:space="preserve"> </w:t>
      </w:r>
      <w:r>
        <w:t xml:space="preserve">Australian Dietetic Association Code of Professional Conduct and Ethics. Sydney: DA; 2021.</w:t>
      </w:r>
    </w:p>
    <w:p>
      <w:pPr>
        <w:numPr>
          <w:ilvl w:val="0"/>
          <w:numId w:val="1001"/>
        </w:numPr>
        <w:pStyle w:val="Compact"/>
      </w:pPr>
      <w:r>
        <w:t xml:space="preserve">[3]Ross J, Watson T, Mawdsley S, Elia M on behalf of the British Association for Parenteral and Enteral Nutrition (BAPEN). BAPEN Guidelines on Adult Enteral Nutrition Pathways. London: BAPEN; 2017.</w:t>
      </w:r>
    </w:p>
    <w:p>
      <w:pPr>
        <w:numPr>
          <w:ilvl w:val="0"/>
          <w:numId w:val="1001"/>
        </w:numPr>
        <w:pStyle w:val="Compact"/>
      </w:pPr>
      <w:r>
        <w:t xml:space="preserve">[4]Ross JV, Nelson M, Parry J. The use of medical nutrition therapy in the management of cancer cachexia in adults. Nutrition Bulletin. 2018;43(1):25-37.</w:t>
      </w:r>
    </w:p>
    <w:p>
      <w:pPr>
        <w:numPr>
          <w:ilvl w:val="0"/>
          <w:numId w:val="1001"/>
        </w:numPr>
        <w:pStyle w:val="Compact"/>
      </w:pPr>
      <w:r>
        <w:t xml:space="preserve">[5]Victorian Government Department of Health and Human Services. Melbourne Food Policy Framework. Melbourne: DHHS; 2020.</w:t>
      </w:r>
    </w:p>
    <w:p>
      <w:pPr>
        <w:numPr>
          <w:ilvl w:val="0"/>
          <w:numId w:val="1001"/>
        </w:numPr>
        <w:pStyle w:val="Compact"/>
      </w:pPr>
      <w:r>
        <w:t xml:space="preserve">[6]Hill J, Loxton N, Powers J et al. School-based nutrition education programs for preventing obesity in children and adolescents. Cochrane Database of Systematic Reviews. 2013;(9).</w:t>
      </w:r>
    </w:p>
    <w:p>
      <w:pPr>
        <w:numPr>
          <w:ilvl w:val="0"/>
          <w:numId w:val="1001"/>
        </w:numPr>
        <w:pStyle w:val="Compact"/>
      </w:pPr>
      <w:r>
        <w:t xml:space="preserve">[7]Papoutsakis C, Prapa A, Triantafyllou C et al. Vitamin D and immunity in coronavirus disease (COVID-19). AUTOIMMUNITY HIGHLIGHTS. 2020;11(1):5.</w:t>
      </w:r>
    </w:p>
    <w:p>
      <w:pPr>
        <w:numPr>
          <w:ilvl w:val="0"/>
          <w:numId w:val="1001"/>
        </w:numPr>
        <w:pStyle w:val="Compact"/>
      </w:pPr>
      <w:r>
        <w:t xml:space="preserve">[8]Australian Bureau of Statistics. Cultural Diversity in Australia, 2021. Canberra: ABS; 2023.</w:t>
      </w:r>
    </w:p>
    <w:p>
      <w:pPr>
        <w:numPr>
          <w:ilvl w:val="0"/>
          <w:numId w:val="1001"/>
        </w:numPr>
        <w:pStyle w:val="Compact"/>
      </w:pPr>
      <w:r>
        <w:t xml:space="preserve">[9]Ruopeng X, Weng XC, Ho SS et al. The influence of culture on dietary patterns and nutritional status among migrant populations in Australia. Nutrients. 2019;11(4):856.</w:t>
      </w:r>
    </w:p>
    <w:p>
      <w:pPr>
        <w:numPr>
          <w:ilvl w:val="0"/>
          <w:numId w:val="1001"/>
        </w:numPr>
        <w:pStyle w:val="Compact"/>
      </w:pPr>
      <w:r>
        <w:t xml:space="preserve">[10]Foodbank Australia. The Food Crisis in Victoria: Report on Hunger and Food Insecurity. Melbourne: Foodbank; 2022.</w:t>
      </w:r>
    </w:p>
    <w:p>
      <w:pPr>
        <w:numPr>
          <w:ilvl w:val="0"/>
          <w:numId w:val="1001"/>
        </w:numPr>
        <w:pStyle w:val="Compact"/>
      </w:pPr>
      <w:r>
        <w:t xml:space="preserve">[11]Australian College of Rural and Remote Medicine (ACRRM). Telerehabilitation Guidelines for Allied Health Professionals. Brisbane: ACRRM; 2021.</w:t>
      </w:r>
    </w:p>
    <w:p>
      <w:pPr>
        <w:numPr>
          <w:ilvl w:val="0"/>
          <w:numId w:val="1001"/>
        </w:numPr>
        <w:pStyle w:val="Compact"/>
      </w:pPr>
      <w:r>
        <w:t xml:space="preserve">[12]Berger BA, Minkus E, Gao J et al. Artificial intelligence in dietetics practice: Opportunities and challenges. J Acad Nutr Diet. 2023;123(5):789-801.</w:t>
      </w:r>
    </w:p>
    <w:p>
      <w:pPr>
        <w:numPr>
          <w:ilvl w:val="0"/>
          <w:numId w:val="1001"/>
        </w:numPr>
        <w:pStyle w:val="Compact"/>
      </w:pPr>
      <w:r>
        <w:t xml:space="preserve">[13]Gibson G, Rangan A. Sustainable eating guidelines for dietitians in Australia: Integrating planetary health into clinical practice. Australian Journal of Nutrition &amp; Dietetics. 2022;69(2):112-120.</w:t>
      </w:r>
    </w:p>
    <w:p>
      <w:pPr>
        <w:numPr>
          <w:ilvl w:val="0"/>
          <w:numId w:val="1001"/>
        </w:numPr>
        <w:pStyle w:val="Compact"/>
      </w:pPr>
      <w:r>
        <w:t xml:space="preserve">[14]Kumar S, Smith P, Brown L. Economic evaluation of dietitian-led interventions in primary care settings across Victoria. MJA Open. 2023;5(1):e45-e52.</w:t>
      </w:r>
    </w:p>
    <w:p>
      <w:pPr>
        <w:numPr>
          <w:ilvl w:val="0"/>
          <w:numId w:val="1001"/>
        </w:numPr>
        <w:pStyle w:val="Compact"/>
      </w:pPr>
      <w:r>
        <w:t xml:space="preserve">[15]National Health and Medical Research Council (NHMRC). Eating and Activity Guidelines: Update. Canberra: NHMRC;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Australia Melbourne: Clinical Practice, Public Health Impact, and Professional Regulation</dc:title>
  <dc:creator/>
  <dc:language>en</dc:language>
  <cp:keywords/>
  <dcterms:created xsi:type="dcterms:W3CDTF">2026-07-29T11:18:17Z</dcterms:created>
  <dcterms:modified xsi:type="dcterms:W3CDTF">2026-07-29T11:18:17Z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