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the-academic-beacon-of-the-midwest"/>
    <w:p>
      <w:pPr>
        <w:pStyle w:val="Heading1"/>
      </w:pPr>
      <w:r>
        <w:t xml:space="preserve">The Academic Beacon of the Midwest</w:t>
      </w:r>
    </w:p>
    <w:bookmarkStart w:id="25" w:name="Xb1248cc1a1b8174fa934fb451159bfb414f2de0"/>
    <w:p>
      <w:pPr>
        <w:pStyle w:val="Heading2"/>
      </w:pPr>
      <w:r>
        <w:t xml:space="preserve">An Analysis of the Economist in United States Chicago</w:t>
      </w:r>
    </w:p>
    <w:p>
      <w:pPr>
        <w:pStyle w:val="FirstParagraph"/>
      </w:pPr>
      <w:r>
        <w:t xml:space="preserve">Term Paper Submitted for Economics 405</w:t>
      </w:r>
      <w:r>
        <w:br/>
      </w:r>
      <w:r>
        <w:t xml:space="preserve">Department of Finance and Economics</w:t>
      </w:r>
      <w:r>
        <w:br/>
      </w:r>
      <w:r>
        <w:t xml:space="preserve">University Context: Greater Chicago Area Studies</w:t>
      </w:r>
      <w:r>
        <w:br/>
      </w:r>
      <w:r>
        <w:t xml:space="preserve">Date: May 20, 2024</w:t>
      </w:r>
    </w:p>
    <w:p>
      <w:pPr>
        <w:pStyle w:val="BodyText"/>
      </w:pPr>
      <w:r>
        <w:rPr>
          <w:bCs/>
          <w:b/>
        </w:rPr>
        <w:t xml:space="preserve">Abstract:</w:t>
      </w:r>
      <w:r>
        <w:br/>
      </w:r>
      <w:r>
        <w:t xml:space="preserve">This term paper examines the pivotal role played by leading economic publications and institutions, specifically focusing on the influence of</w:t>
      </w:r>
      <w:r>
        <w:t xml:space="preserve"> </w:t>
      </w:r>
      <w:r>
        <w:rPr>
          <w:iCs/>
          <w:i/>
        </w:rPr>
        <w:t xml:space="preserve">The Economist</w:t>
      </w:r>
      <w:r>
        <w:t xml:space="preserve">, within the financial and academic landscape of Chicago, Illinois. As a global hub for derivatives trading, futures markets, and institutional research,</w:t>
      </w:r>
      <w:r>
        <w:t xml:space="preserve"> </w:t>
      </w:r>
      <w:r>
        <w:rPr>
          <w:bCs/>
          <w:b/>
        </w:rPr>
        <w:t xml:space="preserve">United States Chicago</w:t>
      </w:r>
      <w:r>
        <w:t xml:space="preserve"> </w:t>
      </w:r>
      <w:r>
        <w:t xml:space="preserve">serves as a critical node in the global economy. This paper argues that while local institutions such as the University of Chicago’s Booth School of Business define rigorous academic theory, international publications like</w:t>
      </w:r>
      <w:r>
        <w:t xml:space="preserve"> </w:t>
      </w:r>
      <w:r>
        <w:rPr>
          <w:iCs/>
          <w:i/>
        </w:rPr>
        <w:t xml:space="preserve">The Economist</w:t>
      </w:r>
      <w:r>
        <w:t xml:space="preserve"> </w:t>
      </w:r>
      <w:r>
        <w:t xml:space="preserve">provide the necessary macroeconomic context and policy analysis that shape professional practice in this specific geographic locale. By analyzing the intersection of local market dynamics with global editorial perspectives, we elucidate how an</w:t>
      </w:r>
      <w:r>
        <w:t xml:space="preserve"> </w:t>
      </w:r>
      <w:r>
        <w:rPr>
          <w:bCs/>
          <w:b/>
        </w:rPr>
        <w:t xml:space="preserve">Economist</w:t>
      </w:r>
      <w:r>
        <w:t xml:space="preserve"> </w:t>
      </w:r>
      <w:r>
        <w:t xml:space="preserve">in Chicago utilizes these resources to navigate complex regulatory environments and capital flows.</w:t>
      </w:r>
    </w:p>
    <w:bookmarkStart w:id="20" w:name="Xc04d83a7cfe06e1e137daef5308e507ca7a8a0c"/>
    <w:p>
      <w:pPr>
        <w:pStyle w:val="Heading3"/>
      </w:pPr>
      <w:r>
        <w:t xml:space="preserve">I. Introduction: The Chicago Economic Ecosystem</w:t>
      </w:r>
    </w:p>
    <w:p>
      <w:pPr>
        <w:pStyle w:val="FirstParagraph"/>
      </w:pPr>
      <w:r>
        <w:t xml:space="preserve">To understand the modern role of the professional</w:t>
      </w:r>
      <w:r>
        <w:t xml:space="preserve"> </w:t>
      </w:r>
      <w:r>
        <w:rPr>
          <w:bCs/>
          <w:b/>
        </w:rPr>
        <w:t xml:space="preserve">Economist</w:t>
      </w:r>
      <w:r>
        <w:t xml:space="preserve">, one must first appreciate the unique environment of</w:t>
      </w:r>
      <w:r>
        <w:t xml:space="preserve"> </w:t>
      </w:r>
      <w:r>
        <w:rPr>
          <w:bCs/>
          <w:b/>
        </w:rPr>
        <w:t xml:space="preserve">United States Chicago</w:t>
      </w:r>
      <w:r>
        <w:t xml:space="preserve">. Unlike New York, which is often characterized by its focus on equity markets and investment banking headquarters, Chicago has historically carved out a distinct identity as the world’s capital for futures and options trading. The presence of major entities such as the CME Group (Chicago Mercantile Exchange) places this city at the epicenter of risk management and commodity pricing.</w:t>
      </w:r>
      <w:r>
        <w:t xml:space="preserve"> </w:t>
      </w:r>
      <w:r>
        <w:t xml:space="preserve">In this high-stakes environment, an</w:t>
      </w:r>
      <w:r>
        <w:t xml:space="preserve"> </w:t>
      </w:r>
      <w:r>
        <w:rPr>
          <w:bCs/>
          <w:b/>
        </w:rPr>
        <w:t xml:space="preserve">Economist</w:t>
      </w:r>
      <w:r>
        <w:t xml:space="preserve"> </w:t>
      </w:r>
      <w:r>
        <w:t xml:space="preserve">is not merely an academic theorist but a practitioner who must interpret vast amounts of data to inform trading strategies, policy recommendations, and corporate investments. However, local data alone is insufficient for understanding global supply chains or international monetary policies that directly impact Chicago’s export-oriented industries and financial derivatives. This gap in macro-contextual analysis is where publications like</w:t>
      </w:r>
      <w:r>
        <w:t xml:space="preserve"> </w:t>
      </w:r>
      <w:r>
        <w:rPr>
          <w:iCs/>
          <w:i/>
        </w:rPr>
        <w:t xml:space="preserve">The Economist</w:t>
      </w:r>
      <w:r>
        <w:t xml:space="preserve"> </w:t>
      </w:r>
      <w:r>
        <w:t xml:space="preserve">become indispensable tools for the working professional in</w:t>
      </w:r>
      <w:r>
        <w:t xml:space="preserve"> </w:t>
      </w:r>
      <w:r>
        <w:rPr>
          <w:bCs/>
          <w:b/>
        </w:rPr>
        <w:t xml:space="preserve">United States Chicago</w:t>
      </w:r>
      <w:r>
        <w:t xml:space="preserve">.</w:t>
      </w:r>
    </w:p>
    <w:bookmarkEnd w:id="20"/>
    <w:bookmarkStart w:id="21" w:name="Xe37dfb45cf307f7db9a11c6b98776bca6f52961"/>
    <w:p>
      <w:pPr>
        <w:pStyle w:val="Heading3"/>
      </w:pPr>
      <w:r>
        <w:t xml:space="preserve">II. The Role of The Economist as a Strategic Asset</w:t>
      </w:r>
    </w:p>
    <w:p>
      <w:pPr>
        <w:pStyle w:val="FirstParagraph"/>
      </w:pPr>
      <w:r>
        <w:t xml:space="preserve">For an economist based in the heart of Illinois, access to timely, synthesized global information is crucial.</w:t>
      </w:r>
      <w:r>
        <w:t xml:space="preserve"> </w:t>
      </w:r>
      <w:r>
        <w:rPr>
          <w:iCs/>
          <w:i/>
        </w:rPr>
        <w:t xml:space="preserve">The Economist</w:t>
      </w:r>
      <w:r>
        <w:t xml:space="preserve">, with its weekly circulation and reputation for data-driven journalism, offers a comprehensive overview of global economic trends that often transcend national borders. While local newspapers such as the</w:t>
      </w:r>
      <w:r>
        <w:t xml:space="preserve"> </w:t>
      </w:r>
      <w:r>
        <w:rPr>
          <w:iCs/>
          <w:i/>
        </w:rPr>
        <w:t xml:space="preserve">Chicago Tribune</w:t>
      </w:r>
      <w:r>
        <w:t xml:space="preserve"> </w:t>
      </w:r>
      <w:r>
        <w:t xml:space="preserve">provide granular details on regional politics and labor markets, they rarely offer the same depth of international macroeconomic analysis.</w:t>
      </w:r>
      <w:r>
        <w:t xml:space="preserve"> </w:t>
      </w:r>
      <w:r>
        <w:t xml:space="preserve">The publication’s distinct editorial stance—which often emphasizes free-market principles, liberal democracy, and globalization—resonates particularly well with Chicago’s financial sector. Many economists working in derivatives trading find their philosophical underpinnings aligned with the classical liberal traditions that have influenced both</w:t>
      </w:r>
      <w:r>
        <w:t xml:space="preserve"> </w:t>
      </w:r>
      <w:r>
        <w:rPr>
          <w:iCs/>
          <w:i/>
        </w:rPr>
        <w:t xml:space="preserve">The Economist</w:t>
      </w:r>
      <w:r>
        <w:t xml:space="preserve"> </w:t>
      </w:r>
      <w:r>
        <w:t xml:space="preserve">and the famous "Chicago School" of economics associated with Nobel laureates like Milton Friedman and Gary Becker.</w:t>
      </w:r>
      <w:r>
        <w:t xml:space="preserve"> </w:t>
      </w:r>
      <w:r>
        <w:t xml:space="preserve">Furthermore,</w:t>
      </w:r>
      <w:r>
        <w:t xml:space="preserve"> </w:t>
      </w:r>
      <w:r>
        <w:rPr>
          <w:iCs/>
          <w:i/>
        </w:rPr>
        <w:t xml:space="preserve">The Economist</w:t>
      </w:r>
      <w:r>
        <w:t xml:space="preserve"> </w:t>
      </w:r>
      <w:r>
        <w:t xml:space="preserve">provides specific sections dedicated to finance and economic indicators that allow practitioners in Chicago to cross-reference local market movements with global events. For instance, when analyzing the price of soybeans or corn—commodities central to the agricultural heartland surrounding Chicago—an economist relies on</w:t>
      </w:r>
      <w:r>
        <w:t xml:space="preserve"> </w:t>
      </w:r>
      <w:r>
        <w:rPr>
          <w:iCs/>
          <w:i/>
        </w:rPr>
        <w:t xml:space="preserve">The Economist</w:t>
      </w:r>
      <w:r>
        <w:t xml:space="preserve">’s analysis of international trade policies, weather patterns in other hemispheres, and currency fluctuations. This synthesis allows for more robust hedging strategies and risk assessments.</w:t>
      </w:r>
    </w:p>
    <w:bookmarkEnd w:id="21"/>
    <w:bookmarkStart w:id="22" w:name="X3ec10afc4bef8193910f47b6d8343d192ebd029"/>
    <w:p>
      <w:pPr>
        <w:pStyle w:val="Heading3"/>
      </w:pPr>
      <w:r>
        <w:t xml:space="preserve">III. The Intersection of Theory and Practice in United States Chicago</w:t>
      </w:r>
    </w:p>
    <w:p>
      <w:pPr>
        <w:pStyle w:val="FirstParagraph"/>
      </w:pPr>
      <w:r>
        <w:t xml:space="preserve">The academic reputation of Chicago is built upon the University of Chicago’s Booth School of Business, where generations of economists have debated and refined theories regarding efficient market hypotheses, rational choice theory, and behavioral economics. However, there exists a dichotomy between the theoretical purity often found in academia and the messy reality of market application.</w:t>
      </w:r>
      <w:r>
        <w:t xml:space="preserve"> </w:t>
      </w:r>
      <w:r>
        <w:t xml:space="preserve">Herein lies the value proposition for an economist utilizing</w:t>
      </w:r>
      <w:r>
        <w:t xml:space="preserve"> </w:t>
      </w:r>
      <w:r>
        <w:rPr>
          <w:iCs/>
          <w:i/>
        </w:rPr>
        <w:t xml:space="preserve">The Economist</w:t>
      </w:r>
      <w:r>
        <w:t xml:space="preserve">. The publication acts as a bridge. It translates complex global political developments into economic consequences that can be measured and acted upon. For example, during periods of geopolitical tension affecting oil supplies, an economist in Chicago must quickly assess how this impacts energy futures on the CME.</w:t>
      </w:r>
      <w:r>
        <w:t xml:space="preserve"> </w:t>
      </w:r>
      <w:r>
        <w:rPr>
          <w:iCs/>
          <w:i/>
        </w:rPr>
        <w:t xml:space="preserve">The Economist</w:t>
      </w:r>
      <w:r>
        <w:t xml:space="preserve"> </w:t>
      </w:r>
      <w:r>
        <w:t xml:space="preserve">provides the narrative context—analyzing OPEC decisions, geopolitical stability in key regions, and global demand forecasts—that allows the local economist to model these impacts accurately.</w:t>
      </w:r>
      <w:r>
        <w:t xml:space="preserve"> </w:t>
      </w:r>
      <w:r>
        <w:t xml:space="preserve">Moreover, the publication’s rigorous approach to data visualization and economic indicators complements the quantitative skills emphasized in Chicago’s educational institutions. Economists often cite specific charts from</w:t>
      </w:r>
      <w:r>
        <w:t xml:space="preserve"> </w:t>
      </w:r>
      <w:r>
        <w:rPr>
          <w:iCs/>
          <w:i/>
        </w:rPr>
        <w:t xml:space="preserve">The Economist</w:t>
      </w:r>
      <w:r>
        <w:t xml:space="preserve"> </w:t>
      </w:r>
      <w:r>
        <w:t xml:space="preserve">in internal reports or client presentations within</w:t>
      </w:r>
      <w:r>
        <w:t xml:space="preserve"> </w:t>
      </w:r>
      <w:r>
        <w:rPr>
          <w:bCs/>
          <w:b/>
        </w:rPr>
        <w:t xml:space="preserve">United States Chicago</w:t>
      </w:r>
      <w:r>
        <w:t xml:space="preserve">, as these visuals provide a universally understood shorthand for complex global trends. This shared language facilitates communication between local traders, international partners, and policy makers who may not have deep technical backgrounds but require high-level insights.</w:t>
      </w:r>
    </w:p>
    <w:bookmarkEnd w:id="22"/>
    <w:bookmarkStart w:id="23" w:name="Xb7c23adfde67da5e11738a3fc22e43c5bc03148"/>
    <w:p>
      <w:pPr>
        <w:pStyle w:val="Heading3"/>
      </w:pPr>
      <w:r>
        <w:t xml:space="preserve">IV. Critical Engagement and Local Relevance</w:t>
      </w:r>
    </w:p>
    <w:p>
      <w:pPr>
        <w:pStyle w:val="FirstParagraph"/>
      </w:pPr>
      <w:r>
        <w:t xml:space="preserve">It is important to note that reliance on a single source does not negate the critical thinking skills expected of an economist in this region. Chicago economists are trained to be skeptical and analytical. Therefore, while</w:t>
      </w:r>
      <w:r>
        <w:t xml:space="preserve"> </w:t>
      </w:r>
      <w:r>
        <w:rPr>
          <w:iCs/>
          <w:i/>
        </w:rPr>
        <w:t xml:space="preserve">The Economist</w:t>
      </w:r>
      <w:r>
        <w:t xml:space="preserve"> </w:t>
      </w:r>
      <w:r>
        <w:t xml:space="preserve">is a primary resource, it is engaged with critically. The publication’s biases toward Western liberal capitalism are well-known, and economists in</w:t>
      </w:r>
      <w:r>
        <w:t xml:space="preserve"> </w:t>
      </w:r>
      <w:r>
        <w:rPr>
          <w:bCs/>
          <w:b/>
        </w:rPr>
        <w:t xml:space="preserve">United States Chicago</w:t>
      </w:r>
      <w:r>
        <w:t xml:space="preserve"> </w:t>
      </w:r>
      <w:r>
        <w:t xml:space="preserve">often supplement their reading with sources that offer alternative perspectives, particularly regarding emerging markets or regulatory critiques from the Global South.</w:t>
      </w:r>
      <w:r>
        <w:t xml:space="preserve"> </w:t>
      </w:r>
      <w:r>
        <w:t xml:space="preserve">Nevertheless, the frequency of its publication ensures that local professionals remain current. In a fast-moving market like Chicago’s derivatives exchange, being two weeks behind on global economic news is a liability.</w:t>
      </w:r>
      <w:r>
        <w:t xml:space="preserve"> </w:t>
      </w:r>
      <w:r>
        <w:rPr>
          <w:iCs/>
          <w:i/>
        </w:rPr>
        <w:t xml:space="preserve">The Economist</w:t>
      </w:r>
      <w:r>
        <w:t xml:space="preserve">’s weekly cadence provides a regular pulse check on the world economy, ensuring that an economist’s strategy remains aligned with the broader global zeitgeist.</w:t>
      </w:r>
      <w:r>
        <w:t xml:space="preserve"> </w:t>
      </w:r>
      <w:r>
        <w:t xml:space="preserve">Additionally, the publication often covers topics relevant to midwestern industrial policy, such as infrastructure development and labor market trends in manufacturing hubs. This relevance ensures that even a publication perceived as international maintains a tangible connection to the local economic fabric of Illinois.</w:t>
      </w:r>
    </w:p>
    <w:bookmarkEnd w:id="23"/>
    <w:bookmarkStart w:id="24" w:name="v.-conclusion"/>
    <w:p>
      <w:pPr>
        <w:pStyle w:val="Heading3"/>
      </w:pPr>
      <w:r>
        <w:t xml:space="preserve">V. Conclusion</w:t>
      </w:r>
    </w:p>
    <w:p>
      <w:pPr>
        <w:pStyle w:val="FirstParagraph"/>
      </w:pPr>
      <w:r>
        <w:t xml:space="preserve">In conclusion, the role of an</w:t>
      </w:r>
      <w:r>
        <w:t xml:space="preserve"> </w:t>
      </w:r>
      <w:r>
        <w:rPr>
          <w:bCs/>
          <w:b/>
        </w:rPr>
        <w:t xml:space="preserve">Economist</w:t>
      </w:r>
      <w:r>
        <w:t xml:space="preserve"> </w:t>
      </w:r>
      <w:r>
        <w:t xml:space="preserve">in</w:t>
      </w:r>
      <w:r>
        <w:t xml:space="preserve"> </w:t>
      </w:r>
      <w:r>
        <w:rPr>
          <w:bCs/>
          <w:b/>
        </w:rPr>
        <w:t xml:space="preserve">United States Chicago</w:t>
      </w:r>
      <w:r>
        <w:t xml:space="preserve"> </w:t>
      </w:r>
      <w:r>
        <w:t xml:space="preserve">is deeply intertwined with global economic currents, despite its strong regional identity as a financial and commodities hub. While local institutions provide the theoretical framework and data infrastructure, publications like</w:t>
      </w:r>
      <w:r>
        <w:t xml:space="preserve"> </w:t>
      </w:r>
      <w:r>
        <w:rPr>
          <w:iCs/>
          <w:i/>
        </w:rPr>
        <w:t xml:space="preserve">The Economist</w:t>
      </w:r>
      <w:r>
        <w:t xml:space="preserve"> </w:t>
      </w:r>
      <w:r>
        <w:t xml:space="preserve">provide the essential macroeconomic narrative that contextualizes local actions within global realities.</w:t>
      </w:r>
      <w:r>
        <w:t xml:space="preserve"> </w:t>
      </w:r>
      <w:r>
        <w:t xml:space="preserve">The synergy between the analytical rigor of Chicago’s academic tradition and the accessible, comprehensive analysis offered by international economic journalism creates a powerful toolset for decision-making. For economists in this city,</w:t>
      </w:r>
      <w:r>
        <w:t xml:space="preserve"> </w:t>
      </w:r>
      <w:r>
        <w:rPr>
          <w:iCs/>
          <w:i/>
        </w:rPr>
        <w:t xml:space="preserve">The Economist</w:t>
      </w:r>
      <w:r>
        <w:t xml:space="preserve"> </w:t>
      </w:r>
      <w:r>
        <w:t xml:space="preserve">is not merely a news source; it is a strategic asset that enhances their ability to interpret complex global variables, manage risk in futures markets, and contribute to policy discussions that affect both the local community and the broader international economy. As global interconnectedness continues to deepen, the value of such holistic economic perspectives will only increase for professionals operating at the crossroads of American finance and global commerce.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2026-07-30T14:57:00Z</dcterms:created>
  <dcterms:modified xsi:type="dcterms:W3CDTF">2026-07-30T14:57:00Z</dcterms:modified>
</cp:coreProperties>
</file>

<file path=docProps/custom.xml><?xml version="1.0" encoding="utf-8"?>
<Properties xmlns="http://schemas.openxmlformats.org/officeDocument/2006/custom-properties" xmlns:vt="http://schemas.openxmlformats.org/officeDocument/2006/docPropsVTypes"/>
</file>