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Modern</w:t>
      </w:r>
      <w:r>
        <w:t xml:space="preserve"> </w:t>
      </w:r>
      <w:r>
        <w:t xml:space="preserve">Editor</w:t>
      </w:r>
      <w:r>
        <w:t xml:space="preserve"> </w:t>
      </w:r>
      <w:r>
        <w:t xml:space="preserve">in</w:t>
      </w:r>
      <w:r>
        <w:t xml:space="preserve"> </w:t>
      </w:r>
      <w:r>
        <w:t xml:space="preserve">Germany</w:t>
      </w:r>
      <w:r>
        <w:t xml:space="preserve"> </w:t>
      </w:r>
      <w:r>
        <w:t xml:space="preserve">Munich</w:t>
      </w:r>
    </w:p>
    <w:bookmarkStart w:id="28" w:name="X69cb178c129243e99e7d9d2995d03420562d539"/>
    <w:p>
      <w:pPr>
        <w:pStyle w:val="Heading1"/>
      </w:pPr>
      <w:r>
        <w:t xml:space="preserve">The Role and Evolution of the Editor in Germany Munich</w:t>
      </w:r>
    </w:p>
    <w:p>
      <w:pPr>
        <w:pStyle w:val="FirstParagraph"/>
      </w:pPr>
      <w:r>
        <w:rPr>
          <w:bCs/>
          <w:b/>
        </w:rPr>
        <w:t xml:space="preserve">A Term Paper on Editorial Standards, Digital Transformation, and Cultural Contexts</w:t>
      </w:r>
    </w:p>
    <w:p>
      <w:pPr>
        <w:pStyle w:val="BodyText"/>
      </w:pPr>
      <w:r>
        <w:t xml:space="preserve">Date: October 26, 2023</w:t>
      </w:r>
    </w:p>
    <w:bookmarkStart w:id="20" w:name="i.-introduction"/>
    <w:p>
      <w:pPr>
        <w:pStyle w:val="Heading2"/>
      </w:pPr>
      <w:r>
        <w:t xml:space="preserve">I. Introduction</w:t>
      </w:r>
    </w:p>
    <w:p>
      <w:pPr>
        <w:pStyle w:val="FirstParagraph"/>
      </w:pPr>
      <w:r>
        <w:t xml:space="preserve">In the contemporary landscape of media and publishing, the role of the editor has transcended traditional boundaries of mere correction and layout. This term paper explores the multifaceted position of an</w:t>
      </w:r>
      <w:r>
        <w:t xml:space="preserve"> </w:t>
      </w:r>
      <w:r>
        <w:rPr>
          <w:bCs/>
          <w:b/>
        </w:rPr>
        <w:t xml:space="preserve">Editor</w:t>
      </w:r>
      <w:r>
        <w:t xml:space="preserve">, specifically situated within the unique cultural, legal, and technological ecosystem of</w:t>
      </w:r>
      <w:r>
        <w:t xml:space="preserve"> </w:t>
      </w:r>
      <w:r>
        <w:rPr>
          <w:bCs/>
          <w:b/>
        </w:rPr>
        <w:t xml:space="preserve">Germany Munich</w:t>
      </w:r>
      <w:r>
        <w:t xml:space="preserve">. Munich (München) stands as a bastion of Bavarian culture, economic power, and journalistic integrity in Germany. As such, it serves as a critical case study for understanding how editorial standards adapt to digital pressures while maintaining rigorous quality control. The purpose of this document is to analyze the responsibilities of an editor operating in this specific region, examining the interplay between German media law (Medienrecht), the high expectations of local readership, and the global shift toward digital-first content production.</w:t>
      </w:r>
    </w:p>
    <w:bookmarkEnd w:id="20"/>
    <w:bookmarkStart w:id="21" w:name="X5bee42d6fd3780dd154d81d6a8bcc73962a9e8c"/>
    <w:p>
      <w:pPr>
        <w:pStyle w:val="Heading2"/>
      </w:pPr>
      <w:r>
        <w:t xml:space="preserve">II. Historical Context and Cultural Expectations</w:t>
      </w:r>
    </w:p>
    <w:p>
      <w:pPr>
        <w:pStyle w:val="FirstParagraph"/>
      </w:pPr>
      <w:r>
        <w:t xml:space="preserve">To understand the modern</w:t>
      </w:r>
      <w:r>
        <w:t xml:space="preserve"> </w:t>
      </w:r>
      <w:r>
        <w:rPr>
          <w:bCs/>
          <w:b/>
        </w:rPr>
        <w:t xml:space="preserve">Editor</w:t>
      </w:r>
      <w:r>
        <w:t xml:space="preserve">, one must first appreciate the historical weight of journalism in Bavaria. Munich has long been home to prestigious publications such as *Süddeutsche Zeitung*, one of Germany’s leading daily newspapers. The legacy of print media in</w:t>
      </w:r>
      <w:r>
        <w:t xml:space="preserve"> </w:t>
      </w:r>
      <w:r>
        <w:rPr>
          <w:bCs/>
          <w:b/>
        </w:rPr>
        <w:t xml:space="preserve">Germany Munich</w:t>
      </w:r>
      <w:r>
        <w:t xml:space="preserve"> </w:t>
      </w:r>
      <w:r>
        <w:t xml:space="preserve">is characterized by a deep commitment to factual accuracy, thorough research, and objective reporting. Unlike some Anglo-Saxon markets that prioritize speed and sensationalism, the editorial culture here has traditionally valued depth and nuance.</w:t>
      </w:r>
      <w:r>
        <w:t xml:space="preserve"> </w:t>
      </w:r>
      <w:r>
        <w:t xml:space="preserve">Consequently, an editor working in this region must possess not only linguistic proficiency but also a profound understanding of journalistic ethics rooted in the German Press Council (Deutscher Presserat) guidelines. The public trust placed in media institutions is high; therefore, the margin for error is slim. An</w:t>
      </w:r>
      <w:r>
        <w:t xml:space="preserve"> </w:t>
      </w:r>
      <w:r>
        <w:rPr>
          <w:bCs/>
          <w:b/>
        </w:rPr>
        <w:t xml:space="preserve">Editor</w:t>
      </w:r>
      <w:r>
        <w:t xml:space="preserve"> </w:t>
      </w:r>
      <w:r>
        <w:t xml:space="preserve">acts as the final gatekeeper, ensuring that content aligns with these longstanding traditions of integrity while simultaneously addressing contemporary issues such as political polarization and misinformation.</w:t>
      </w:r>
    </w:p>
    <w:bookmarkEnd w:id="21"/>
    <w:bookmarkStart w:id="22" w:name="Xa81518b616d1218bd222ed0b66431124c2deed4"/>
    <w:p>
      <w:pPr>
        <w:pStyle w:val="Heading2"/>
      </w:pPr>
      <w:r>
        <w:t xml:space="preserve">III. The Legal Framework: Medienrecht and Liability</w:t>
      </w:r>
    </w:p>
    <w:p>
      <w:pPr>
        <w:pStyle w:val="FirstParagraph"/>
      </w:pPr>
      <w:r>
        <w:t xml:space="preserve">A critical aspect of being an</w:t>
      </w:r>
      <w:r>
        <w:t xml:space="preserve"> </w:t>
      </w:r>
      <w:r>
        <w:rPr>
          <w:bCs/>
          <w:b/>
        </w:rPr>
        <w:t xml:space="preserve">Editor</w:t>
      </w:r>
      <w:r>
        <w:t xml:space="preserve"> </w:t>
      </w:r>
      <w:r>
        <w:t xml:space="preserve">in</w:t>
      </w:r>
      <w:r>
        <w:t xml:space="preserve"> </w:t>
      </w:r>
      <w:r>
        <w:rPr>
          <w:bCs/>
          <w:b/>
        </w:rPr>
        <w:t xml:space="preserve">Germany Munich</w:t>
      </w:r>
      <w:r>
        <w:t xml:space="preserve">, or anywhere in Germany, is navigating the complex legal landscape known as *Medienrecht*. German media law is stringent regarding defamation (*Beleidigung* and *Üble Nachrede*), copyright (*Urheberrecht*), and the protection of personal data (*Datenschutz*). The editor holds significant liability for published content.</w:t>
      </w:r>
      <w:r>
        <w:t xml:space="preserve"> </w:t>
      </w:r>
      <w:r>
        <w:t xml:space="preserve">In practice, this means that an editor must be vigilant about:</w:t>
      </w:r>
    </w:p>
    <w:p>
      <w:pPr>
        <w:numPr>
          <w:ilvl w:val="0"/>
          <w:numId w:val="1001"/>
        </w:numPr>
        <w:pStyle w:val="Compact"/>
      </w:pPr>
      <w:r>
        <w:rPr>
          <w:bCs/>
          <w:b/>
        </w:rPr>
        <w:t xml:space="preserve">Right of Reply:</w:t>
      </w:r>
      <w:r>
        <w:t xml:space="preserve"> </w:t>
      </w:r>
      <w:r>
        <w:t xml:space="preserve">Ensuring that subjects of critical reporting are given adequate opportunity to respond.</w:t>
      </w:r>
    </w:p>
    <w:p>
      <w:pPr>
        <w:numPr>
          <w:ilvl w:val="0"/>
          <w:numId w:val="1001"/>
        </w:numPr>
        <w:pStyle w:val="Compact"/>
      </w:pPr>
      <w:r>
        <w:rPr>
          <w:bCs/>
          <w:b/>
        </w:rPr>
        <w:t xml:space="preserve">Youth Protection:</w:t>
      </w:r>
      <w:r>
        <w:t xml:space="preserve"> </w:t>
      </w:r>
      <w:r>
        <w:t xml:space="preserve">Strictly adhering to regulations regarding content suitable for minors.</w:t>
      </w:r>
    </w:p>
    <w:p>
      <w:pPr>
        <w:numPr>
          <w:ilvl w:val="0"/>
          <w:numId w:val="1001"/>
        </w:numPr>
        <w:pStyle w:val="Compact"/>
      </w:pPr>
      <w:r>
        <w:rPr>
          <w:bCs/>
          <w:b/>
        </w:rPr>
        <w:t xml:space="preserve">Copyright Clearance:</w:t>
      </w:r>
      <w:r>
        <w:t xml:space="preserve">Meticulously documenting permissions for images, quotes, and data used in articles or digital media.</w:t>
      </w:r>
    </w:p>
    <w:p>
      <w:pPr>
        <w:pStyle w:val="FirstParagraph"/>
      </w:pPr>
      <w:r>
        <w:t xml:space="preserve">Failure to comply with these regulations can result in severe legal consequences for the publisher and the individual editor. Thus, the role of the</w:t>
      </w:r>
      <w:r>
        <w:t xml:space="preserve"> </w:t>
      </w:r>
      <w:r>
        <w:rPr>
          <w:bCs/>
          <w:b/>
        </w:rPr>
        <w:t xml:space="preserve">Editor</w:t>
      </w:r>
      <w:r>
        <w:t xml:space="preserve"> </w:t>
      </w:r>
      <w:r>
        <w:t xml:space="preserve">in</w:t>
      </w:r>
      <w:r>
        <w:t xml:space="preserve"> </w:t>
      </w:r>
      <w:r>
        <w:rPr>
          <w:bCs/>
          <w:b/>
        </w:rPr>
        <w:t xml:space="preserve">Germany Munich</w:t>
      </w:r>
      <w:r>
        <w:t xml:space="preserve"> </w:t>
      </w:r>
      <w:r>
        <w:t xml:space="preserve">is not merely creative but heavily juridical, requiring a collaborative relationship with legal teams to mitigate risk while preserving editorial freedom.</w:t>
      </w:r>
    </w:p>
    <w:bookmarkEnd w:id="22"/>
    <w:bookmarkStart w:id="23" w:name="X0ea4a4f2f392bfa93af245c0e713bd1ef0c2887"/>
    <w:p>
      <w:pPr>
        <w:pStyle w:val="Heading2"/>
      </w:pPr>
      <w:r>
        <w:t xml:space="preserve">IV. Digital Transformation and Multi-Platform Strategy</w:t>
      </w:r>
    </w:p>
    <w:p>
      <w:pPr>
        <w:pStyle w:val="FirstParagraph"/>
      </w:pPr>
      <w:r>
        <w:t xml:space="preserve">The advent of the digital age has fundamentally altered the workflow of any</w:t>
      </w:r>
      <w:r>
        <w:t xml:space="preserve"> </w:t>
      </w:r>
      <w:r>
        <w:rPr>
          <w:bCs/>
          <w:b/>
        </w:rPr>
        <w:t xml:space="preserve">Editor</w:t>
      </w:r>
      <w:r>
        <w:t xml:space="preserve">. In</w:t>
      </w:r>
      <w:r>
        <w:t xml:space="preserve"> </w:t>
      </w:r>
      <w:r>
        <w:rPr>
          <w:bCs/>
          <w:b/>
        </w:rPr>
        <w:t xml:space="preserve">Germany Munich</w:t>
      </w:r>
      <w:r>
        <w:t xml:space="preserve">, where tech-savviness is high due to a strong presence in IT and startup sectors, editors are no longer working solely with text on paper. They must manage content across websites, social media platforms, newsletters, and podcasts. This requires the editor to develop "conversio skills"—the ability to repurpose long-form investigative journalism into bite-sized digital snippets without losing the core message or factual integrity.</w:t>
      </w:r>
      <w:r>
        <w:t xml:space="preserve"> </w:t>
      </w:r>
      <w:r>
        <w:t xml:space="preserve">Furthermore, the concept of "Speed vs. Accuracy" has become a central tension for editors in Munich’s media landscape. While global competitors may publish immediately, German audiences often expect verified information over immediate breaking news updates. The editor must balance these demands by implementing robust fact-checking protocols even in digital environments. This involves utilizing advanced verification tools, cross-referencing sources via secure channels, and maintaining a skeptical stance toward unverified social media claims.</w:t>
      </w:r>
    </w:p>
    <w:bookmarkEnd w:id="23"/>
    <w:bookmarkStart w:id="24" w:name="Xb23fff5f49b9f54c374333c2b652086f04d5af6"/>
    <w:p>
      <w:pPr>
        <w:pStyle w:val="Heading2"/>
      </w:pPr>
      <w:r>
        <w:t xml:space="preserve">V. Skills and Competencies of the Modern Editor</w:t>
      </w:r>
    </w:p>
    <w:p>
      <w:pPr>
        <w:pStyle w:val="FirstParagraph"/>
      </w:pPr>
      <w:r>
        <w:t xml:space="preserve">The profile of an ideal</w:t>
      </w:r>
      <w:r>
        <w:t xml:space="preserve"> </w:t>
      </w:r>
      <w:r>
        <w:rPr>
          <w:bCs/>
          <w:b/>
        </w:rPr>
        <w:t xml:space="preserve">Editor</w:t>
      </w:r>
      <w:r>
        <w:t xml:space="preserve"> </w:t>
      </w:r>
      <w:r>
        <w:t xml:space="preserve">in</w:t>
      </w:r>
      <w:r>
        <w:t xml:space="preserve"> </w:t>
      </w:r>
      <w:r>
        <w:rPr>
          <w:bCs/>
          <w:b/>
        </w:rPr>
        <w:t xml:space="preserve">Germany Munich</w:t>
      </w:r>
      <w:r>
        <w:t xml:space="preserve"> </w:t>
      </w:r>
      <w:r>
        <w:t xml:space="preserve">has evolved significantly. While strong command of the German language (specifically High German/Hochdeutsch for formal publications, though Bavarian dialect awareness can be beneficial for local engagement) remains paramount, new competencies are essential:</w:t>
      </w:r>
    </w:p>
    <w:p>
      <w:pPr>
        <w:numPr>
          <w:ilvl w:val="0"/>
          <w:numId w:val="1002"/>
        </w:numPr>
        <w:pStyle w:val="Compact"/>
      </w:pPr>
      <w:r>
        <w:rPr>
          <w:bCs/>
          <w:b/>
        </w:rPr>
        <w:t xml:space="preserve">Digital Literacy:</w:t>
      </w:r>
      <w:r>
        <w:t xml:space="preserve"> </w:t>
      </w:r>
      <w:r>
        <w:t xml:space="preserve">Proficiency in Content Management Systems (CMS), SEO principles, and analytics to understand audience behavior.</w:t>
      </w:r>
    </w:p>
    <w:p>
      <w:pPr>
        <w:numPr>
          <w:ilvl w:val="0"/>
          <w:numId w:val="1002"/>
        </w:numPr>
        <w:pStyle w:val="Compact"/>
      </w:pPr>
      <w:r>
        <w:rPr>
          <w:bCs/>
          <w:b/>
        </w:rPr>
        <w:t xml:space="preserve">Data Journalism:</w:t>
      </w:r>
      <w:r>
        <w:t xml:space="preserve"> </w:t>
      </w:r>
      <w:r>
        <w:t xml:space="preserve">The ability to interpret data sets and work alongside data journalists to create evidence-based narratives.</w:t>
      </w:r>
    </w:p>
    <w:p>
      <w:pPr>
        <w:numPr>
          <w:ilvl w:val="0"/>
          <w:numId w:val="1002"/>
        </w:numPr>
        <w:pStyle w:val="Compact"/>
      </w:pPr>
      <w:r>
        <w:rPr>
          <w:bCs/>
          <w:b/>
        </w:rPr>
        <w:t xml:space="preserve">Cross-Cultural Communication:</w:t>
      </w:r>
      <w:r>
        <w:t xml:space="preserve"> </w:t>
      </w:r>
      <w:r>
        <w:t xml:space="preserve">Given Munich’s international demographic, editors often manage teams with diverse linguistic backgrounds, requiring sensitivity and clear communication strategies.</w:t>
      </w:r>
    </w:p>
    <w:p>
      <w:pPr>
        <w:numPr>
          <w:ilvl w:val="0"/>
          <w:numId w:val="1002"/>
        </w:numPr>
        <w:pStyle w:val="Compact"/>
      </w:pPr>
      <w:r>
        <w:rPr>
          <w:bCs/>
          <w:b/>
        </w:rPr>
        <w:t xml:space="preserve">Ethical Leadership:</w:t>
      </w:r>
      <w:r>
        <w:t xml:space="preserve"> </w:t>
      </w:r>
      <w:r>
        <w:t xml:space="preserve">The capacity to guide junior journalists through ethical dilemmas, fostering a culture of accountability and transparency.</w:t>
      </w:r>
    </w:p>
    <w:p>
      <w:pPr>
        <w:pStyle w:val="FirstParagraph"/>
      </w:pPr>
      <w:r>
        <w:t xml:space="preserve">These skills ensure that the editor can lead by example, maintaining high standards while adapting to the rapidly changing media environment.</w:t>
      </w:r>
    </w:p>
    <w:bookmarkEnd w:id="24"/>
    <w:bookmarkStart w:id="25" w:name="vi.-challenges-and-future-outlook"/>
    <w:p>
      <w:pPr>
        <w:pStyle w:val="Heading2"/>
      </w:pPr>
      <w:r>
        <w:t xml:space="preserve">VI. Challenges and Future Outlook</w:t>
      </w:r>
    </w:p>
    <w:p>
      <w:pPr>
        <w:pStyle w:val="FirstParagraph"/>
      </w:pPr>
      <w:r>
        <w:t xml:space="preserve">Despite the rich heritage of media in</w:t>
      </w:r>
      <w:r>
        <w:t xml:space="preserve"> </w:t>
      </w:r>
      <w:r>
        <w:rPr>
          <w:bCs/>
          <w:b/>
        </w:rPr>
        <w:t xml:space="preserve">Germany Munich</w:t>
      </w:r>
      <w:r>
        <w:t xml:space="preserve">, editors face significant challenges. The decline of traditional advertising revenue has forced many organizations to reconsider their business models, often leading to staff reductions or increased workload for remaining editors. Additionally, the rise of AI-generated content poses a new threat and opportunity. Editors must now distinguish between human-created nuance and machine-generated text, ensuring that the "human touch" remains central to storytelling in</w:t>
      </w:r>
      <w:r>
        <w:t xml:space="preserve"> </w:t>
      </w:r>
      <w:r>
        <w:rPr>
          <w:bCs/>
          <w:b/>
        </w:rPr>
        <w:t xml:space="preserve">Germany Munich</w:t>
      </w:r>
      <w:r>
        <w:t xml:space="preserve">.</w:t>
      </w:r>
      <w:r>
        <w:t xml:space="preserve"> </w:t>
      </w:r>
      <w:r>
        <w:t xml:space="preserve">Looking forward, the role of the editor will likely become even more strategic. As audiences fragment across various platforms, editors will need to curate personalized experiences while upholding universal standards of truth. The integration of AI tools for transcription, translation, and initial fact-checking could augment human editors rather than replace them, allowing for deeper investigative work.</w:t>
      </w:r>
    </w:p>
    <w:bookmarkEnd w:id="25"/>
    <w:bookmarkStart w:id="26" w:name="vii.-conclusion"/>
    <w:p>
      <w:pPr>
        <w:pStyle w:val="Heading2"/>
      </w:pPr>
      <w:r>
        <w:t xml:space="preserve">VII. Conclusion</w:t>
      </w:r>
    </w:p>
    <w:p>
      <w:pPr>
        <w:pStyle w:val="FirstParagraph"/>
      </w:pPr>
      <w:r>
        <w:t xml:space="preserve">In conclusion, the position of an</w:t>
      </w:r>
      <w:r>
        <w:t xml:space="preserve"> </w:t>
      </w:r>
      <w:r>
        <w:rPr>
          <w:bCs/>
          <w:b/>
        </w:rPr>
        <w:t xml:space="preserve">Editor</w:t>
      </w:r>
      <w:r>
        <w:t xml:space="preserve"> </w:t>
      </w:r>
      <w:r>
        <w:t xml:space="preserve">in</w:t>
      </w:r>
      <w:r>
        <w:t xml:space="preserve"> </w:t>
      </w:r>
      <w:r>
        <w:rPr>
          <w:bCs/>
          <w:b/>
        </w:rPr>
        <w:t xml:space="preserve">Germany Munich</w:t>
      </w:r>
      <w:r>
        <w:t xml:space="preserve"> </w:t>
      </w:r>
      <w:r>
        <w:t xml:space="preserve">is a complex intersection of tradition and innovation. It requires a rigorous adherence to legal and ethical standards born out of Bavaria’s strong journalistic heritage, combined with the agility to navigate digital transformation. As media consumption habits shift globally, the editor in Munich remains a crucial anchor for truth and quality. The ability to balance the demands of speed with the imperative of accuracy, all within a strict legal framework, defines success in this role. Ultimately, whether through print or digital mediums, the editor serves as the guardian of public discourse in one of Europe’s most vibrant cultural centers.</w:t>
      </w:r>
    </w:p>
    <w:bookmarkEnd w:id="26"/>
    <w:bookmarkStart w:id="27" w:name="viii.-references-indicative"/>
    <w:p>
      <w:pPr>
        <w:pStyle w:val="Heading2"/>
      </w:pPr>
      <w:r>
        <w:t xml:space="preserve">VIII. References (Indicative)</w:t>
      </w:r>
    </w:p>
    <w:p>
      <w:pPr>
        <w:pStyle w:val="FirstParagraph"/>
      </w:pPr>
      <w:r>
        <w:rPr>
          <w:iCs/>
          <w:i/>
        </w:rPr>
        <w:t xml:space="preserve">Note: For a formal academic submission, specific citations from German media law textbooks, industry reports on Munich’s publishing sector, and articles from the Süddeutsche Zeitung regarding editorial standards would be included here.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Modern Editor in Germany Munich</dc:title>
  <dc:creator/>
  <dc:language>en</dc:language>
  <cp:keywords/>
  <dcterms:created xsi:type="dcterms:W3CDTF">2026-07-29T08:24:55Z</dcterms:created>
  <dcterms:modified xsi:type="dcterms:W3CDTF">2026-07-29T08:24:55Z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