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fb83a7dfb96cc07eba6b6ddf8d9e33b97df3cfd"/>
    <w:p>
      <w:pPr>
        <w:pStyle w:val="Heading1"/>
      </w:pPr>
      <w:r>
        <w:t xml:space="preserve">The Strategic Role of the Education Administrator in Malaysia Kuala Lumpur</w:t>
      </w:r>
    </w:p>
    <w:p>
      <w:pPr>
        <w:pStyle w:val="FirstParagraph"/>
      </w:pPr>
      <w:r>
        <w:rPr>
          <w:bCs/>
          <w:b/>
        </w:rPr>
        <w:t xml:space="preserve">A Term Paper on Educational Leadership and Policy Implementation in an Urban Context</w:t>
      </w:r>
    </w:p>
    <w:p>
      <w:pPr>
        <w:pStyle w:val="BodyText"/>
      </w:pPr>
      <w:r>
        <w:rPr>
          <w:iCs/>
          <w:i/>
        </w:rPr>
        <w:t xml:space="preserve">Date: October 26, 2023</w:t>
      </w:r>
    </w:p>
    <w:bookmarkStart w:id="20" w:name="introduction"/>
    <w:p>
      <w:pPr>
        <w:pStyle w:val="Heading3"/>
      </w:pPr>
      <w:r>
        <w:t xml:space="preserve">Introduction</w:t>
      </w:r>
    </w:p>
    <w:p>
      <w:pPr>
        <w:pStyle w:val="FirstParagraph"/>
      </w:pPr>
      <w:r>
        <w:t xml:space="preserve">Education serves as the cornerstone of national development, shaping the intellectual and moral fabric of society. In any educational ecosystem, the success of pedagogical strategies and policy implementation hinges heavily on effective leadership at the administrative level. The figure who stands at this nexus is the</w:t>
      </w:r>
      <w:r>
        <w:t xml:space="preserve"> </w:t>
      </w:r>
      <w:r>
        <w:rPr>
          <w:bCs/>
          <w:b/>
        </w:rPr>
        <w:t xml:space="preserve">Education Administrator</w:t>
      </w:r>
      <w:r>
        <w:t xml:space="preserve">. While their duties are universal in scope—ranging from resource allocation to curriculum oversight—the specific challenges and opportunities they face are deeply contextual. This term paper explores the critical role of the</w:t>
      </w:r>
      <w:r>
        <w:t xml:space="preserve"> </w:t>
      </w:r>
      <w:r>
        <w:rPr>
          <w:bCs/>
          <w:b/>
        </w:rPr>
        <w:t xml:space="preserve">Education Administrator</w:t>
      </w:r>
      <w:r>
        <w:t xml:space="preserve">, specifically within the dynamic, multicultural, and rapidly modernizing context of</w:t>
      </w:r>
      <w:r>
        <w:t xml:space="preserve"> </w:t>
      </w:r>
      <w:r>
        <w:rPr>
          <w:bCs/>
          <w:b/>
        </w:rPr>
        <w:t xml:space="preserve">Malaysia Kuala Lumpur</w:t>
      </w:r>
      <w:r>
        <w:t xml:space="preserve">. As one of Southeast Asia’s most prominent urban centers,</w:t>
      </w:r>
      <w:r>
        <w:t xml:space="preserve"> </w:t>
      </w:r>
      <w:r>
        <w:rPr>
          <w:bCs/>
          <w:b/>
        </w:rPr>
        <w:t xml:space="preserve">Malaysia Kuala Lumpur</w:t>
      </w:r>
      <w:r>
        <w:t xml:space="preserve"> </w:t>
      </w:r>
      <w:r>
        <w:t xml:space="preserve">presents a unique case study where traditional educational values must intersect with global competitiveness and digital innovation. Understanding how an</w:t>
      </w:r>
      <w:r>
        <w:t xml:space="preserve"> </w:t>
      </w:r>
      <w:r>
        <w:rPr>
          <w:bCs/>
          <w:b/>
        </w:rPr>
        <w:t xml:space="preserve">Education Administrator</w:t>
      </w:r>
    </w:p>
    <w:bookmarkEnd w:id="20"/>
    <w:bookmarkStart w:id="21" w:name="X7536671020cb6b51a334939036c4556dad14c63"/>
    <w:p>
      <w:pPr>
        <w:pStyle w:val="Heading3"/>
      </w:pPr>
      <w:r>
        <w:t xml:space="preserve">The Evolving Landscape of Education in Malaysia Kuala Lumpur</w:t>
      </w:r>
    </w:p>
    <w:p>
      <w:pPr>
        <w:pStyle w:val="FirstParagraph"/>
      </w:pPr>
      <w:r>
        <w:t xml:space="preserve">To appreciate the role of the</w:t>
      </w:r>
      <w:r>
        <w:t xml:space="preserve"> </w:t>
      </w:r>
      <w:r>
        <w:rPr>
          <w:bCs/>
          <w:b/>
        </w:rPr>
        <w:t xml:space="preserve">Education Administrator</w:t>
      </w:r>
      <w:r>
        <w:t xml:space="preserve">, one must first understand the environment they operate within.</w:t>
      </w:r>
      <w:r>
        <w:t xml:space="preserve"> </w:t>
      </w:r>
      <w:r>
        <w:rPr>
          <w:bCs/>
          <w:b/>
        </w:rPr>
        <w:t xml:space="preserve">Malaysia Kuala Lumpur</w:t>
      </w:r>
      <w:r>
        <w:t xml:space="preserve"> </w:t>
      </w:r>
      <w:r>
        <w:t xml:space="preserve">In this context the</w:t>
      </w:r>
      <w:r>
        <w:t xml:space="preserve"> </w:t>
      </w:r>
      <w:r>
        <w:rPr>
          <w:bCs/>
          <w:b/>
        </w:rPr>
        <w:t xml:space="preserve">Education AdministratorMalaysia Kuala LumpurEducation Administrator</w:t>
      </w:r>
    </w:p>
    <w:bookmarkEnd w:id="21"/>
    <w:bookmarkStart w:id="22" w:name="X856c4fbdc7742a775a64956926a94ffc9f83205"/>
    <w:p>
      <w:pPr>
        <w:pStyle w:val="Heading3"/>
      </w:pPr>
      <w:r>
        <w:t xml:space="preserve">Bridging Policy and Practice: The Administrative Mandate</w:t>
      </w:r>
    </w:p>
    <w:p>
      <w:pPr>
        <w:pStyle w:val="FirstParagraph"/>
      </w:pPr>
      <w:r>
        <w:t xml:space="preserve">One of the primary functions of an</w:t>
      </w:r>
      <w:r>
        <w:t xml:space="preserve"> </w:t>
      </w:r>
      <w:r>
        <w:rPr>
          <w:bCs/>
          <w:b/>
        </w:rPr>
        <w:t xml:space="preserve">Education AdministratorMalaysia Kuala Lumpur</w:t>
      </w:r>
      <w:r>
        <w:t xml:space="preserve">, where the demographic mix includes Malay, Chinese, Indian, and expatriate communities educational administration requires a high degree cultural sensitivity and inclusivity.</w:t>
      </w:r>
    </w:p>
    <w:p>
      <w:pPr>
        <w:pStyle w:val="BodyText"/>
      </w:pPr>
      <w:r>
        <w:t xml:space="preserve">For instance the implementation of the National Education Philosophy (Falsafah Pendidikan Kebangsaan) must be adapted to suit urban realities. An</w:t>
      </w:r>
      <w:r>
        <w:t xml:space="preserve"> </w:t>
      </w:r>
      <w:r>
        <w:rPr>
          <w:bCs/>
          <w:b/>
        </w:rPr>
        <w:t xml:space="preserve">Education Administrator</w:t>
      </w:r>
    </w:p>
    <w:bookmarkEnd w:id="22"/>
    <w:bookmarkStart w:id="23" w:name="X40d43e8cb996e59677c770be3c2ba1c120b3a18"/>
    <w:p>
      <w:pPr>
        <w:pStyle w:val="Heading3"/>
      </w:pPr>
      <w:r>
        <w:t xml:space="preserve">Technological Integration and Digital Transformation</w:t>
      </w:r>
    </w:p>
    <w:p>
      <w:pPr>
        <w:pStyle w:val="FirstParagraph"/>
      </w:pPr>
      <w:r>
        <w:t xml:space="preserve">The post-pandemic era has accelerated the integration of technology in education. For the</w:t>
      </w:r>
      <w:r>
        <w:t xml:space="preserve"> </w:t>
      </w:r>
      <w:r>
        <w:rPr>
          <w:bCs/>
          <w:b/>
        </w:rPr>
        <w:t xml:space="preserve">Education Administrator</w:t>
      </w:r>
      <w:r>
        <w:t xml:space="preserve">, this shift has been both a challenge and an opportunity. In</w:t>
      </w:r>
      <w:r>
        <w:t xml:space="preserve"> </w:t>
      </w:r>
      <w:r>
        <w:rPr>
          <w:bCs/>
          <w:b/>
        </w:rPr>
        <w:t xml:space="preserve">Malaysia Kuala Lumpur</w:t>
      </w:r>
      <w:r>
        <w:t xml:space="preserve">, where internet infrastructure is relatively robust compared to other parts of the country, there is a heightened expectation for digital literacy among students.</w:t>
      </w:r>
    </w:p>
    <w:p>
      <w:pPr>
        <w:pStyle w:val="BodyText"/>
      </w:pPr>
      <w:r>
        <w:t xml:space="preserve">The administrator must oversee the procurement and maintenance of educational technology, from smart boards in classrooms to learning management systems (LMS) like Google Classroom or Moodle. However technological integration is not merely about buying hardware; it is about professional development for teachers. An effective</w:t>
      </w:r>
      <w:r>
        <w:t xml:space="preserve"> </w:t>
      </w:r>
      <w:r>
        <w:rPr>
          <w:bCs/>
          <w:b/>
        </w:rPr>
        <w:t xml:space="preserve">Education AdministratorMalaysia Kuala Lumpur</w:t>
      </w:r>
    </w:p>
    <w:bookmarkEnd w:id="23"/>
    <w:bookmarkStart w:id="24" w:name="X850167b76a352dd18d997dd150cb3d2fdaeef67"/>
    <w:p>
      <w:pPr>
        <w:pStyle w:val="Heading3"/>
      </w:pPr>
      <w:r>
        <w:t xml:space="preserve">Fiscal Responsibility and Resource Optimization</w:t>
      </w:r>
    </w:p>
    <w:p>
      <w:pPr>
        <w:pStyle w:val="FirstParagraph"/>
      </w:pPr>
      <w:r>
        <w:t xml:space="preserve">Regardless of whether an institution is public or private, financial sustainability is paramount. The role of the</w:t>
      </w:r>
      <w:r>
        <w:t xml:space="preserve"> </w:t>
      </w:r>
      <w:r>
        <w:rPr>
          <w:bCs/>
          <w:b/>
        </w:rPr>
        <w:t xml:space="preserve">Education AdministratorMalaysia Kuala Lumpur</w:t>
      </w:r>
      <w:r>
        <w:t xml:space="preserve">, educational institutions must market themselves effectively to attract students.</w:t>
      </w:r>
    </w:p>
    <w:p>
      <w:pPr>
        <w:pStyle w:val="BodyText"/>
      </w:pPr>
      <w:r>
        <w:t xml:space="preserve">Administrators must make difficult decisions regarding curriculum expansion, facility upgrades, and staff retention. They must balance fiscal prudence with the need for high-quality educational experiences. For example an administrator in</w:t>
      </w:r>
      <w:r>
        <w:t xml:space="preserve"> </w:t>
      </w:r>
      <w:r>
        <w:rPr>
          <w:bCs/>
          <w:b/>
        </w:rPr>
        <w:t xml:space="preserve">Malaysia Kuala Lumpur</w:t>
      </w:r>
    </w:p>
    <w:bookmarkEnd w:id="24"/>
    <w:bookmarkStart w:id="25" w:name="Xd8b2502386edbcfcfe317aa4d1fe0cb485a261e"/>
    <w:p>
      <w:pPr>
        <w:pStyle w:val="Heading3"/>
      </w:pPr>
      <w:r>
        <w:t xml:space="preserve">The Human Element: Leadership and Teacher Well-being</w:t>
      </w:r>
    </w:p>
    <w:p>
      <w:pPr>
        <w:pStyle w:val="FirstParagraph"/>
      </w:pPr>
      <w:r>
        <w:t xml:space="preserve">Beyond policy and finance the core of education lies with its practitioners: the teachers. The</w:t>
      </w:r>
    </w:p>
    <w:p>
      <w:pPr>
        <w:pStyle w:val="BodyText"/>
      </w:pPr>
      <w:r>
        <w:t xml:space="preserve">Education Administrator</w:t>
      </w:r>
      <w:r>
        <w:t xml:space="preserve"> </w:t>
      </w:r>
      <w:r>
        <w:t xml:space="preserve">In</w:t>
      </w:r>
      <w:r>
        <w:t xml:space="preserve"> </w:t>
      </w:r>
      <w:r>
        <w:rPr>
          <w:bCs/>
          <w:b/>
        </w:rPr>
        <w:t xml:space="preserve">Malaysia Kuala Lumpur</w:t>
      </w:r>
      <w:r>
        <w:t xml:space="preserve">, where the cost of living is high and professional competition is fierce administrators must foster a supportive work environment. This involves creating clear career progression paths, offering mental health support, and encouraging collaborative professional learning communities. When teachers feel valued and supported by their</w:t>
      </w:r>
      <w:r>
        <w:t xml:space="preserve"> </w:t>
      </w:r>
      <w:r>
        <w:rPr>
          <w:bCs/>
          <w:b/>
        </w:rPr>
        <w:t xml:space="preserve">Education Administrator</w:t>
      </w:r>
      <w:r>
        <w:t xml:space="preserve">, they are more likely to engage deeply with students, leading to improved academic outcomes.</w:t>
      </w:r>
    </w:p>
    <w:bookmarkEnd w:id="25"/>
    <w:bookmarkStart w:id="26" w:name="conclusion"/>
    <w:p>
      <w:pPr>
        <w:pStyle w:val="Heading3"/>
      </w:pPr>
      <w:r>
        <w:t xml:space="preserve">Conclusion</w:t>
      </w:r>
    </w:p>
    <w:p>
      <w:pPr>
        <w:pStyle w:val="FirstParagraph"/>
      </w:pPr>
      <w:r>
        <w:t xml:space="preserve">In conclusion the role of the</w:t>
      </w:r>
      <w:r>
        <w:t xml:space="preserve"> </w:t>
      </w:r>
      <w:r>
        <w:rPr>
          <w:bCs/>
          <w:b/>
        </w:rPr>
        <w:t xml:space="preserve">Education AdministratorMalaysia Kuala LumpurMalaysia Kuala Lumpur</w:t>
      </w:r>
      <w:r>
        <w:t xml:space="preserve"> </w:t>
      </w:r>
      <w:r>
        <w:t xml:space="preserve">The future of education in this region depends not just on curriculum changes or technological upgrades but on the capability of its administrators to navigate complexity with vision and integrity. An effective</w:t>
      </w:r>
      <w:r>
        <w:t xml:space="preserve"> </w:t>
      </w:r>
      <w:r>
        <w:rPr>
          <w:bCs/>
          <w:b/>
        </w:rPr>
        <w:t xml:space="preserve">Education AdministratorMalaysia Kuala Lumpur</w:t>
      </w:r>
    </w:p>
    <w:p>
      <w:pPr>
        <w:pStyle w:val="BodyText"/>
      </w:pPr>
      <w:r>
        <w:rPr>
          <w:iCs/>
          <w:i/>
        </w:rPr>
        <w:t xml:space="preserve">End of Term Paper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Malaysia Kuala Lumpur</dc:title>
  <dc:creator/>
  <dc:language>en</dc:language>
  <cp:keywords/>
  <dcterms:created xsi:type="dcterms:W3CDTF">2026-07-29T22:08:30Z</dcterms:created>
  <dcterms:modified xsi:type="dcterms:W3CDTF">2026-07-29T22:08:30Z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