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e7373cc8eb90fe52c7eab4745cbe1245a0444ad"/>
    <w:p>
      <w:pPr>
        <w:pStyle w:val="Heading1"/>
      </w:pPr>
      <w:r>
        <w:t xml:space="preserve">The Strategic Leadership and Operational Management of an Education Administrator in New Zealand Wellington</w:t>
      </w:r>
    </w:p>
    <w:p>
      <w:pPr>
        <w:pStyle w:val="FirstParagraph"/>
      </w:pPr>
      <w:r>
        <w:rPr>
          <w:bCs/>
          <w:b/>
        </w:rPr>
        <w:t xml:space="preserve">A Term Paper Analyzing Administrative Frameworks, Cultural Competency, and Educational Policy Implementation within the Wellington Region.</w:t>
      </w:r>
    </w:p>
    <w:bookmarkStart w:id="20" w:name="abstract"/>
    <w:p>
      <w:pPr>
        <w:pStyle w:val="Heading2"/>
      </w:pPr>
      <w:r>
        <w:t xml:space="preserve">Abstract</w:t>
      </w:r>
    </w:p>
    <w:p>
      <w:pPr>
        <w:pStyle w:val="FirstParagraph"/>
      </w:pPr>
      <w:r>
        <w:t xml:space="preserve">This term paper explores the multifaceted role of an</w:t>
      </w:r>
      <w:r>
        <w:t xml:space="preserve"> </w:t>
      </w:r>
      <w:r>
        <w:rPr>
          <w:bCs/>
          <w:b/>
        </w:rPr>
        <w:t xml:space="preserve">Education Administrator</w:t>
      </w:r>
      <w:r>
        <w:t xml:space="preserve">, specifically examining the unique challenges and opportunities presented within the context of</w:t>
      </w:r>
      <w:r>
        <w:t xml:space="preserve"> </w:t>
      </w:r>
      <w:r>
        <w:rPr>
          <w:bCs/>
          <w:b/>
        </w:rPr>
        <w:t xml:space="preserve">New Zealand Wellington</w:t>
      </w:r>
      <w:r>
        <w:t xml:space="preserve">. As a capital city with a diverse demographic profile and a strong commitment to educational equity, Wellington serves as a critical case study for understanding modern administrative practices. The paper delineates the core responsibilities, regulatory frameworks, and cultural imperatives that define effective leadership in this sector. It argues that success as an</w:t>
      </w:r>
      <w:r>
        <w:t xml:space="preserve"> </w:t>
      </w:r>
      <w:r>
        <w:rPr>
          <w:bCs/>
          <w:b/>
        </w:rPr>
        <w:t xml:space="preserve">Education Administrator</w:t>
      </w:r>
      <w:r>
        <w:t xml:space="preserve"> </w:t>
      </w:r>
      <w:r>
        <w:t xml:space="preserve">in</w:t>
      </w:r>
      <w:r>
        <w:t xml:space="preserve"> </w:t>
      </w:r>
      <w:r>
        <w:rPr>
          <w:bCs/>
          <w:b/>
        </w:rPr>
        <w:t xml:space="preserve">New Zealand Wellington</w:t>
      </w:r>
      <w:r>
        <w:t xml:space="preserve"> </w:t>
      </w:r>
      <w:r>
        <w:t xml:space="preserve">requires a synthesis of strategic policy implementation, deep engagement with Te Tiriti o Waitangi obligations, and responsive management of local community dynamics.</w:t>
      </w:r>
    </w:p>
    <w:bookmarkEnd w:id="20"/>
    <w:bookmarkStart w:id="21" w:name="introduction"/>
    <w:p>
      <w:pPr>
        <w:pStyle w:val="Heading2"/>
      </w:pPr>
      <w:r>
        <w:t xml:space="preserve">Introduction</w:t>
      </w:r>
    </w:p>
    <w:p>
      <w:pPr>
        <w:pStyle w:val="FirstParagraph"/>
      </w:pPr>
      <w:r>
        <w:t xml:space="preserve">The landscape of education in the twenty-first century is characterized by rapid change, increased accountability, and a growing emphasis on inclusive learning environments. Within this complex ecosystem, the</w:t>
      </w:r>
      <w:r>
        <w:t xml:space="preserve"> </w:t>
      </w:r>
      <w:r>
        <w:rPr>
          <w:bCs/>
          <w:b/>
        </w:rPr>
        <w:t xml:space="preserve">Education Administrator</w:t>
      </w:r>
      <w:r>
        <w:t xml:space="preserve"> </w:t>
      </w:r>
      <w:r>
        <w:t xml:space="preserve">serves as the linchpin between policy formulation and classroom practice. In</w:t>
      </w:r>
      <w:r>
        <w:t xml:space="preserve"> </w:t>
      </w:r>
      <w:r>
        <w:rPr>
          <w:bCs/>
          <w:b/>
        </w:rPr>
        <w:t xml:space="preserve">New Zealand Wellington</w:t>
      </w:r>
      <w:r>
        <w:t xml:space="preserve">, this role takes on distinct significance due to the city’s status as a cultural hub and its specific socio-economic characteristics. The capital region is home to a significant Māori population, diverse migrant communities, and a high density of tertiary institutions alongside primary and secondary schools. Consequently, an</w:t>
      </w:r>
      <w:r>
        <w:t xml:space="preserve"> </w:t>
      </w:r>
      <w:r>
        <w:rPr>
          <w:bCs/>
          <w:b/>
        </w:rPr>
        <w:t xml:space="preserve">Education Administrator</w:t>
      </w:r>
      <w:r>
        <w:t xml:space="preserve"> </w:t>
      </w:r>
      <w:r>
        <w:t xml:space="preserve">operating in</w:t>
      </w:r>
      <w:r>
        <w:t xml:space="preserve"> </w:t>
      </w:r>
      <w:r>
        <w:rPr>
          <w:bCs/>
          <w:b/>
        </w:rPr>
        <w:t xml:space="preserve">New Zealand Wellington</w:t>
      </w:r>
      <w:r>
        <w:t xml:space="preserve"> </w:t>
      </w:r>
      <w:r>
        <w:t xml:space="preserve">must navigate not only standard educational regulations but also the nuanced expectations of bicultural partnership and social justice. This term paper aims to dissect the professional duties, ethical considerations, and strategic objectives inherent to this pivotal role.</w:t>
      </w:r>
    </w:p>
    <w:bookmarkEnd w:id="21"/>
    <w:bookmarkStart w:id="22" w:name="X32ea996b1097dc68eac37b395b36456c5fc1501"/>
    <w:p>
      <w:pPr>
        <w:pStyle w:val="Heading2"/>
      </w:pPr>
      <w:r>
        <w:t xml:space="preserve">The Regulatory Framework: Ministry of Education Standards</w:t>
      </w:r>
    </w:p>
    <w:p>
      <w:pPr>
        <w:pStyle w:val="FirstParagraph"/>
      </w:pPr>
      <w:r>
        <w:t xml:space="preserve">The primary function of any</w:t>
      </w:r>
      <w:r>
        <w:t xml:space="preserve"> </w:t>
      </w:r>
      <w:r>
        <w:rPr>
          <w:bCs/>
          <w:b/>
        </w:rPr>
        <w:t xml:space="preserve">Education Administrator</w:t>
      </w:r>
      <w:r>
        <w:t xml:space="preserve"> </w:t>
      </w:r>
      <w:r>
        <w:t xml:space="preserve">is to ensure institutional compliance with national standards. In</w:t>
      </w:r>
      <w:r>
        <w:t xml:space="preserve"> </w:t>
      </w:r>
      <w:r>
        <w:rPr>
          <w:bCs/>
          <w:b/>
        </w:rPr>
        <w:t xml:space="preserve">New Zealand Wellington</w:t>
      </w:r>
      <w:r>
        <w:t xml:space="preserve">, administrators must align their school or district operations with the guidelines set forth by the New Zealand Ministry of Education (MoE). This includes adherence to the New Zealand Curriculum, which emphasizes key competencies such as thinking, using language/symbols/texts, managing self, relating to others, and participating and contributing. The administrator is responsible for interpreting these broad curricular expectations into actionable school-wide policies.</w:t>
      </w:r>
    </w:p>
    <w:p>
      <w:pPr>
        <w:pStyle w:val="BodyText"/>
      </w:pPr>
      <w:r>
        <w:t xml:space="preserve">Furthermore, the Education Review Office (ERO) plays a crucial role in evaluating educational outcomes. An effective</w:t>
      </w:r>
      <w:r>
        <w:t xml:space="preserve"> </w:t>
      </w:r>
      <w:r>
        <w:rPr>
          <w:bCs/>
          <w:b/>
        </w:rPr>
        <w:t xml:space="preserve">Education Administrator</w:t>
      </w:r>
      <w:r>
        <w:t xml:space="preserve"> </w:t>
      </w:r>
      <w:r>
        <w:t xml:space="preserve">in</w:t>
      </w:r>
      <w:r>
        <w:t xml:space="preserve"> </w:t>
      </w:r>
      <w:r>
        <w:rPr>
          <w:bCs/>
          <w:b/>
        </w:rPr>
        <w:t xml:space="preserve">New Zealand Wellington</w:t>
      </w:r>
      <w:r>
        <w:t xml:space="preserve"> </w:t>
      </w:r>
      <w:r>
        <w:t xml:space="preserve">must prepare for and engage with ERO reviews, ensuring that data regarding student achievement, attendance, and safety is meticulously maintained. This administrative burden requires strong organizational skills and an ability to translate regulatory language into practical operational procedures for teaching staff.</w:t>
      </w:r>
    </w:p>
    <w:bookmarkEnd w:id="22"/>
    <w:bookmarkStart w:id="23" w:name="biculturalism-and-te-tiriti-o-waitangi"/>
    <w:p>
      <w:pPr>
        <w:pStyle w:val="Heading2"/>
      </w:pPr>
      <w:r>
        <w:t xml:space="preserve">Biculturalism and Te Tiriti o Waitangi</w:t>
      </w:r>
    </w:p>
    <w:p>
      <w:pPr>
        <w:pStyle w:val="FirstParagraph"/>
      </w:pPr>
      <w:r>
        <w:t xml:space="preserve">A defining characteristic of working as an</w:t>
      </w:r>
      <w:r>
        <w:t xml:space="preserve"> </w:t>
      </w:r>
      <w:r>
        <w:rPr>
          <w:bCs/>
          <w:b/>
        </w:rPr>
        <w:t xml:space="preserve">Education Administrator</w:t>
      </w:r>
      <w:r>
        <w:t xml:space="preserve"> </w:t>
      </w:r>
      <w:r>
        <w:t xml:space="preserve">in</w:t>
      </w:r>
      <w:r>
        <w:t xml:space="preserve"> </w:t>
      </w:r>
      <w:r>
        <w:rPr>
          <w:bCs/>
          <w:b/>
        </w:rPr>
        <w:t xml:space="preserve">New Zealand Wellington</w:t>
      </w:r>
      <w:r>
        <w:t xml:space="preserve"> </w:t>
      </w:r>
      <w:r>
        <w:t xml:space="preserve">is the mandatory integration of Te Tiriti o Waitangi (The Treaty of Waitangi) principles into administrative decision-making. Unlike many other jurisdictions, New Zealand’s foundational document requires public institutions, including schools and education authorities, to act in partnership with Māori. For an administrator in</w:t>
      </w:r>
      <w:r>
        <w:t xml:space="preserve"> </w:t>
      </w:r>
      <w:r>
        <w:rPr>
          <w:bCs/>
          <w:b/>
        </w:rPr>
        <w:t xml:space="preserve">New Zealand Wellington</w:t>
      </w:r>
      <w:r>
        <w:t xml:space="preserve">, this is not merely a legal formality but a core ethical obligation.</w:t>
      </w:r>
    </w:p>
    <w:p>
      <w:pPr>
        <w:pStyle w:val="BodyText"/>
      </w:pPr>
      <w:r>
        <w:t xml:space="preserve">This involves implementing policies that support Māori student success, ensuring that school environments reflect bicultural values, and fostering genuine consultation with local iwi (tribes) and whānau (families). Administrators must facilitate professional development for staff to enhance their cultural competency. In the context of</w:t>
      </w:r>
      <w:r>
        <w:t xml:space="preserve"> </w:t>
      </w:r>
      <w:r>
        <w:rPr>
          <w:bCs/>
          <w:b/>
        </w:rPr>
        <w:t xml:space="preserve">New Zealand Wellington</w:t>
      </w:r>
      <w:r>
        <w:t xml:space="preserve">, where urban Māori populations are prominent, this engagement is vital for maintaining trust and ensuring educational relevance. The administrator acts as a guardian of equity, ensuring that systemic barriers do not impede the progress of indigenous learners.</w:t>
      </w:r>
    </w:p>
    <w:bookmarkEnd w:id="23"/>
    <w:bookmarkStart w:id="24" w:name="Xe298e339d72e3ddeacec7dbff143f47be442917"/>
    <w:p>
      <w:pPr>
        <w:pStyle w:val="Heading2"/>
      </w:pPr>
      <w:r>
        <w:t xml:space="preserve">Strategic Resource Management and Financial Oversight</w:t>
      </w:r>
    </w:p>
    <w:p>
      <w:pPr>
        <w:pStyle w:val="FirstParagraph"/>
      </w:pPr>
      <w:r>
        <w:t xml:space="preserve">Beyond policy and culture, the</w:t>
      </w:r>
      <w:r>
        <w:t xml:space="preserve"> </w:t>
      </w:r>
      <w:r>
        <w:rPr>
          <w:bCs/>
          <w:b/>
        </w:rPr>
        <w:t xml:space="preserve">Education Administrator</w:t>
      </w:r>
      <w:r>
        <w:t xml:space="preserve"> </w:t>
      </w:r>
      <w:r>
        <w:t xml:space="preserve">is responsible for the efficient management of resources. In</w:t>
      </w:r>
      <w:r>
        <w:t xml:space="preserve"> </w:t>
      </w:r>
      <w:r>
        <w:rPr>
          <w:bCs/>
          <w:b/>
        </w:rPr>
        <w:t xml:space="preserve">New Zealand Wellington</w:t>
      </w:r>
      <w:r>
        <w:t xml:space="preserve">, where operational costs can be higher than in rural areas, financial prudence is essential. Administrators must oversee budgeting processes that prioritize student outcomes over administrative convenience. This includes managing staffing ratios, maintaining school facilities, and allocating funds for specialized learning support.</w:t>
      </w:r>
    </w:p>
    <w:p>
      <w:pPr>
        <w:pStyle w:val="BodyText"/>
      </w:pPr>
      <w:r>
        <w:t xml:space="preserve">The role also involves strategic planning for long-term sustainability. In a city like</w:t>
      </w:r>
      <w:r>
        <w:t xml:space="preserve"> </w:t>
      </w:r>
      <w:r>
        <w:rPr>
          <w:bCs/>
          <w:b/>
        </w:rPr>
        <w:t xml:space="preserve">New Zealand Wellington</w:t>
      </w:r>
      <w:r>
        <w:t xml:space="preserve">, which faces specific challenges such as earthquake resilience and urban density, administrators must ensure that physical infrastructure supports modern pedagogical approaches. This requires collaboration with local council bodies and central government agencies to secure funding for infrastructure improvements, ensuring safe and conducive learning environments for all students.</w:t>
      </w:r>
    </w:p>
    <w:bookmarkEnd w:id="24"/>
    <w:bookmarkStart w:id="25" w:name="X79b2687dc6505248788b31e2e52bc19bd491334"/>
    <w:p>
      <w:pPr>
        <w:pStyle w:val="Heading2"/>
      </w:pPr>
      <w:r>
        <w:t xml:space="preserve">Community Engagement and Stakeholder Relations</w:t>
      </w:r>
    </w:p>
    <w:p>
      <w:pPr>
        <w:pStyle w:val="FirstParagraph"/>
      </w:pPr>
      <w:r>
        <w:rPr>
          <w:bCs/>
          <w:b/>
        </w:rPr>
        <w:t xml:space="preserve">New Zealand Wellington</w:t>
      </w:r>
      <w:r>
        <w:t xml:space="preserve"> </w:t>
      </w:r>
      <w:r>
        <w:t xml:space="preserve">is a vibrant community with active parents, local businesses, and civic organizations. An</w:t>
      </w:r>
      <w:r>
        <w:t xml:space="preserve"> </w:t>
      </w:r>
      <w:r>
        <w:rPr>
          <w:bCs/>
          <w:b/>
        </w:rPr>
        <w:t xml:space="preserve">Education Administrator</w:t>
      </w:r>
      <w:r>
        <w:t xml:space="preserve"> </w:t>
      </w:r>
      <w:r>
        <w:t xml:space="preserve">must serve as the primary liaison between the educational institution and this broader community. Effective communication strategies are required to keep stakeholders informed about school initiatives, achievements, and challenges.</w:t>
      </w:r>
    </w:p>
    <w:p>
      <w:pPr>
        <w:pStyle w:val="BodyText"/>
      </w:pPr>
      <w:r>
        <w:t xml:space="preserve">This engagement extends to managing relationships with unions, parent-teacher associations, and local political leaders. In</w:t>
      </w:r>
      <w:r>
        <w:t xml:space="preserve"> </w:t>
      </w:r>
      <w:r>
        <w:rPr>
          <w:bCs/>
          <w:b/>
        </w:rPr>
        <w:t xml:space="preserve">New Zealand Wellington</w:t>
      </w:r>
      <w:r>
        <w:t xml:space="preserve">, administrators often find themselves at the center of community dialogue regarding education funding and policy changes. The ability to negotiate, listen to diverse viewpoints, and build consensus is therefore a critical skill set for an</w:t>
      </w:r>
      <w:r>
        <w:t xml:space="preserve"> </w:t>
      </w:r>
      <w:r>
        <w:rPr>
          <w:bCs/>
          <w:b/>
        </w:rPr>
        <w:t xml:space="preserve">Education Administrator</w:t>
      </w:r>
      <w:r>
        <w:t xml:space="preserve">. By fostering strong community ties, the administrator enhances the social capital of the school, which directly contributes to student wellbeing and academic success.</w:t>
      </w:r>
    </w:p>
    <w:bookmarkEnd w:id="25"/>
    <w:bookmarkStart w:id="26" w:name="Xa2e06da780795be6ccd7d8e48463961c9101663"/>
    <w:p>
      <w:pPr>
        <w:pStyle w:val="Heading2"/>
      </w:pPr>
      <w:r>
        <w:t xml:space="preserve">Digital Transformation and Modern Leadership</w:t>
      </w:r>
    </w:p>
    <w:p>
      <w:pPr>
        <w:pStyle w:val="FirstParagraph"/>
      </w:pPr>
      <w:r>
        <w:t xml:space="preserve">The modern</w:t>
      </w:r>
      <w:r>
        <w:t xml:space="preserve"> </w:t>
      </w:r>
      <w:r>
        <w:rPr>
          <w:bCs/>
          <w:b/>
        </w:rPr>
        <w:t xml:space="preserve">Education Administrator</w:t>
      </w:r>
      <w:r>
        <w:t xml:space="preserve"> </w:t>
      </w:r>
      <w:r>
        <w:t xml:space="preserve">in</w:t>
      </w:r>
      <w:r>
        <w:t xml:space="preserve"> </w:t>
      </w:r>
      <w:r>
        <w:rPr>
          <w:bCs/>
          <w:b/>
        </w:rPr>
        <w:t xml:space="preserve">New Zealand Wellington</w:t>
      </w:r>
      <w:r>
        <w:t xml:space="preserve"> </w:t>
      </w:r>
      <w:r>
        <w:t xml:space="preserve">must also lead digital transformation initiatives. As schools increasingly adopt Learning Management Systems (LMS) and data-driven decision-making tools, administrators must oversee the integration of technology into teaching practices. This involves not only procuring hardware but also ensuring data privacy compliance and providing training for staff.</w:t>
      </w:r>
    </w:p>
    <w:p>
      <w:pPr>
        <w:pStyle w:val="BodyText"/>
      </w:pPr>
      <w:r>
        <w:t xml:space="preserve">In</w:t>
      </w:r>
      <w:r>
        <w:t xml:space="preserve"> </w:t>
      </w:r>
      <w:r>
        <w:rPr>
          <w:bCs/>
          <w:b/>
        </w:rPr>
        <w:t xml:space="preserve">New Zealand Wellington</w:t>
      </w:r>
      <w:r>
        <w:t xml:space="preserve">, where digital infrastructure is relatively advanced, administrators can leverage technology to enhance administrative efficiency and personalize learning. However, this requires a forward-thinking mindset that anticipates future trends in educational technology while remaining grounded in the human aspects of teaching and learning.</w:t>
      </w:r>
    </w:p>
    <w:bookmarkEnd w:id="26"/>
    <w:bookmarkStart w:id="27"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New Zealand Wellington</w:t>
      </w:r>
      <w:r>
        <w:t xml:space="preserve"> </w:t>
      </w:r>
      <w:r>
        <w:t xml:space="preserve">is complex, demanding, and profoundly impactful. It requires a unique blend of regulatory knowledge, cultural sensitivity, financial acumen, and community engagement skills. The administrator is not merely a manager but a strategic leader who shapes the educational experience for thousands of students. By adhering to national standards while embracing local bicultural obligations and community values, an</w:t>
      </w:r>
      <w:r>
        <w:t xml:space="preserve"> </w:t>
      </w:r>
      <w:r>
        <w:rPr>
          <w:bCs/>
          <w:b/>
        </w:rPr>
        <w:t xml:space="preserve">Education Administrator</w:t>
      </w:r>
      <w:r>
        <w:t xml:space="preserve"> </w:t>
      </w:r>
      <w:r>
        <w:t xml:space="preserve">in</w:t>
      </w:r>
      <w:r>
        <w:t xml:space="preserve"> </w:t>
      </w:r>
      <w:r>
        <w:rPr>
          <w:bCs/>
          <w:b/>
        </w:rPr>
        <w:t xml:space="preserve">New Zealand Wellington</w:t>
      </w:r>
      <w:r>
        <w:t xml:space="preserve"> </w:t>
      </w:r>
      <w:r>
        <w:t xml:space="preserve">plays a pivotal role in shaping the future of education in New Zealand. Success in this field depends on the ability to balance operational efficiency with a deep commitment to equity and inclusive excellence, ensuring that every learner has the opportunity to thrive.</w:t>
      </w:r>
    </w:p>
    <w:bookmarkEnd w:id="27"/>
    <w:bookmarkStart w:id="28" w:name="references"/>
    <w:p>
      <w:pPr>
        <w:pStyle w:val="Heading2"/>
      </w:pPr>
      <w:r>
        <w:t xml:space="preserve">References</w:t>
      </w:r>
    </w:p>
    <w:p>
      <w:pPr>
        <w:pStyle w:val="FirstParagraph"/>
      </w:pPr>
      <w:r>
        <w:t xml:space="preserve">New Zealand Ministry of Education. (2017). The New Zealand Curriculum. Wellington: NZMQ.</w:t>
      </w:r>
    </w:p>
    <w:p>
      <w:pPr>
        <w:pStyle w:val="BodyText"/>
      </w:pPr>
      <w:r>
        <w:t xml:space="preserve">New Zealand Qualifications Authority. (2019). Guidelines for School Self-Review.</w:t>
      </w:r>
    </w:p>
    <w:p>
      <w:pPr>
        <w:pStyle w:val="BodyText"/>
      </w:pPr>
      <w:r>
        <w:t xml:space="preserve">Waitangi Tribunal. (2014). Kohanga Reo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an Education Administrator in New Zealand Wellington</dc:title>
  <dc:creator/>
  <dc:language>en</dc:language>
  <cp:keywords/>
  <dcterms:created xsi:type="dcterms:W3CDTF">2026-07-29T20:34:57Z</dcterms:created>
  <dcterms:modified xsi:type="dcterms:W3CDTF">2026-07-29T20:34:57Z</dcterms:modified>
</cp:coreProperties>
</file>

<file path=docProps/custom.xml><?xml version="1.0" encoding="utf-8"?>
<Properties xmlns="http://schemas.openxmlformats.org/officeDocument/2006/custom-properties" xmlns:vt="http://schemas.openxmlformats.org/officeDocument/2006/docPropsVTypes"/>
</file>