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21" w:name="Xb4cb55a543fb629a3af29b6fb131140e16a70a2"/>
    <w:p>
      <w:pPr>
        <w:pStyle w:val="Heading1"/>
      </w:pPr>
      <w:r>
        <w:t xml:space="preserve">A Comprehensive Analysis of the Financial Analyst Profession in the Contemporary Economic Landscape</w:t>
      </w:r>
    </w:p>
    <w:bookmarkStart w:id="20" w:name="Xb5da4a1e1555dea38e3fec47e99801606a8b56a"/>
    <w:p>
      <w:pPr>
        <w:pStyle w:val="Heading3"/>
      </w:pPr>
      <w:r>
        <w:t xml:space="preserve">Focusing on Strategic Imperatives and Market Dynamics in China Beijing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End w:id="21"/>
    <w:bookmarkStart w:id="22" w:name="X79611a65eb787f3eb8df898a7a5a006eabd8981"/>
    <w:p>
      <w:pPr>
        <w:pStyle w:val="Heading2"/>
      </w:pPr>
      <w:r>
        <w:t xml:space="preserve">I. Introduction: The Strategic Nexus of Finance and Globalization</w:t>
      </w:r>
    </w:p>
    <w:p>
      <w:pPr>
        <w:pStyle w:val="FirstParagraph"/>
      </w:pPr>
      <w:r>
        <w:t xml:space="preserve">In the rapidly evolving landscape of global economics, the role of a</w:t>
      </w:r>
      <w:r>
        <w:t xml:space="preserve"> </w:t>
      </w:r>
      <w:r>
        <w:rPr>
          <w:bCs/>
          <w:b/>
        </w:rPr>
        <w:t xml:space="preserve">Financial Analyst</w:t>
      </w:r>
    </w:p>
    <w:p>
      <w:pPr>
        <w:pStyle w:val="BodyText"/>
      </w:pPr>
      <w:r>
        <w:rPr>
          <w:rStyle w:val="VerbatimChar"/>
        </w:rPr>
        <w:t xml:space="preserve">The prompt has been truncated.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Financial Analyst in China Beijing</dc:title>
  <dc:creator/>
  <dc:language>en</dc:language>
  <cp:keywords/>
  <dcterms:created xsi:type="dcterms:W3CDTF">2026-07-29T06:56:13Z</dcterms:created>
  <dcterms:modified xsi:type="dcterms:W3CDTF">2026-07-29T06:56:13Z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