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Germany</w:t>
      </w:r>
      <w:r>
        <w:t xml:space="preserve"> </w:t>
      </w:r>
      <w:r>
        <w:t xml:space="preserve">Berlin</w:t>
      </w:r>
    </w:p>
    <w:bookmarkStart w:id="20" w:name="term-paper"/>
    <w:p>
      <w:pPr>
        <w:pStyle w:val="Heading1"/>
      </w:pPr>
      <w:r>
        <w:t xml:space="preserve">Term Paper</w:t>
      </w:r>
    </w:p>
    <w:p>
      <w:pPr>
        <w:pStyle w:val="FirstParagraph"/>
      </w:pPr>
      <w:r>
        <w:rPr>
          <w:bCs/>
          <w:b/>
        </w:rPr>
        <w:t xml:space="preserve">Title:</w:t>
      </w:r>
      <w:r>
        <w:t xml:space="preserve"> </w:t>
      </w:r>
      <w:r>
        <w:t xml:space="preserve">Visual Identity and Cultural Integration: The Professional Scope of the Graphic Designer in Germany Berlin</w:t>
      </w:r>
    </w:p>
    <w:p>
      <w:pPr>
        <w:pStyle w:val="BodyText"/>
      </w:pP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In the contemporary landscape of modern art history and commercial communication, visual storytelling has emerged as a paramount medium for cultural expression and brand identity. Within this global framework,</w:t>
      </w:r>
      <w:r>
        <w:t xml:space="preserve"> </w:t>
      </w:r>
      <w:r>
        <w:rPr>
          <w:bCs/>
          <w:b/>
        </w:rPr>
        <w:t xml:space="preserve">Germany Berlin</w:t>
      </w:r>
      <w:r>
        <w:t xml:space="preserve"> </w:t>
      </w:r>
      <w:r>
        <w:t xml:space="preserve">stands out not merely as a capital city but as a vibrant crucible of creative innovation, historical depth, and avant-garde experimentation. It is in this unique socio-economic environment that the role of the</w:t>
      </w:r>
      <w:r>
        <w:t xml:space="preserve"> </w:t>
      </w:r>
      <w:r>
        <w:rPr>
          <w:bCs/>
          <w:b/>
        </w:rPr>
        <w:t xml:space="preserve">Graphic Designer</w:t>
      </w:r>
      <w:r>
        <w:t xml:space="preserve"> </w:t>
      </w:r>
      <w:r>
        <w:t xml:space="preserve">transcends simple aesthetic arrangement to become a critical component of urban identity and economic viability. This term paper explores the multifaceted responsibilities, cultural influences, and professional challenges faced by a</w:t>
      </w:r>
      <w:r>
        <w:t xml:space="preserve"> </w:t>
      </w:r>
      <w:r>
        <w:rPr>
          <w:bCs/>
          <w:b/>
        </w:rPr>
        <w:t xml:space="preserve">Graphic Designer</w:t>
      </w:r>
      <w:r>
        <w:t xml:space="preserve"> </w:t>
      </w:r>
      <w:r>
        <w:t xml:space="preserve">operating within the specific context of</w:t>
      </w:r>
      <w:r>
        <w:t xml:space="preserve"> </w:t>
      </w:r>
      <w:r>
        <w:rPr>
          <w:bCs/>
          <w:b/>
        </w:rPr>
        <w:t xml:space="preserve">Germany Berlin</w:t>
      </w:r>
      <w:r>
        <w:t xml:space="preserve">. By examining the intersection of historical Bauhaus principles with modern digital demands, this document aims to elucidate how visual communication is shaped by and shapes one of Europe's most dynamic metropolitan areas.</w:t>
      </w:r>
    </w:p>
    <w:bookmarkEnd w:id="21"/>
    <w:bookmarkStart w:id="22" w:name="X07a300b740ae85b8d8dd97f5a9642979d10c2ba"/>
    <w:p>
      <w:pPr>
        <w:pStyle w:val="Heading1"/>
      </w:pPr>
      <w:r>
        <w:t xml:space="preserve">II. Historical Context: The Legacy of Constructivism and Modernism</w:t>
      </w:r>
    </w:p>
    <w:p>
      <w:pPr>
        <w:pStyle w:val="FirstParagraph"/>
      </w:pPr>
      <w:r>
        <w:t xml:space="preserve">To understand the current professional landscape for a</w:t>
      </w:r>
      <w:r>
        <w:t xml:space="preserve"> </w:t>
      </w:r>
      <w:r>
        <w:rPr>
          <w:bCs/>
          <w:b/>
        </w:rPr>
        <w:t xml:space="preserve">Graphic Designer</w:t>
      </w:r>
      <w:r>
        <w:t xml:space="preserve">, one must first acknowledge the profound historical weight carried by</w:t>
      </w:r>
      <w:r>
        <w:t xml:space="preserve"> </w:t>
      </w:r>
      <w:r>
        <w:rPr>
          <w:bCs/>
          <w:b/>
        </w:rPr>
        <w:t xml:space="preserve">Germany Berlin</w:t>
      </w:r>
      <w:r>
        <w:t xml:space="preserve">. The city is intrinsically linked to the Bauhaus movement, which originated in Weimar and moved to Dessau before its final iterations in Berlin. This school of design revolutionized the world by merging crafts with fine arts, emphasizing functionality, geometric simplicity, and typographic clarity. For a</w:t>
      </w:r>
      <w:r>
        <w:t xml:space="preserve"> </w:t>
      </w:r>
      <w:r>
        <w:rPr>
          <w:bCs/>
          <w:b/>
        </w:rPr>
        <w:t xml:space="preserve">Graphic Designer</w:t>
      </w:r>
      <w:r>
        <w:t xml:space="preserve"> </w:t>
      </w:r>
      <w:r>
        <w:t xml:space="preserve">working in this region today, these historical precedents are not just academic references; they are embedded in the collective visual consciousness of the populace.</w:t>
      </w:r>
    </w:p>
    <w:p>
      <w:pPr>
        <w:pStyle w:val="BodyText"/>
      </w:pPr>
      <w:r>
        <w:t xml:space="preserve">The strict adherence to order and function found in traditional German design contrasts sharply with the chaotic, post-industrial aesthetic often seen elsewhere. However,</w:t>
      </w:r>
      <w:r>
        <w:t xml:space="preserve"> </w:t>
      </w:r>
      <w:r>
        <w:rPr>
          <w:bCs/>
          <w:b/>
        </w:rPr>
        <w:t xml:space="preserve">Germany Berlin</w:t>
      </w:r>
      <w:r>
        <w:t xml:space="preserve"> </w:t>
      </w:r>
      <w:r>
        <w:t xml:space="preserve">has famously absorbed this dichotomy. The city’s design scene is a hybrid of rigorous structuralism inherited from its past and the raw, expressive energy of its current multicultural reality. A successful</w:t>
      </w:r>
      <w:r>
        <w:t xml:space="preserve"> </w:t>
      </w:r>
      <w:r>
        <w:rPr>
          <w:bCs/>
          <w:b/>
        </w:rPr>
        <w:t xml:space="preserve">Graphic Designer</w:t>
      </w:r>
      <w:r>
        <w:t xml:space="preserve"> </w:t>
      </w:r>
      <w:r>
        <w:t xml:space="preserve">in this locale must navigate these dualities, creating work that respects the precision expected by local institutions while embracing the eclectic freedom characteristic of Berlin’s street art and alternative culture scenes.</w:t>
      </w:r>
    </w:p>
    <w:bookmarkEnd w:id="22"/>
    <w:bookmarkStart w:id="23" w:name="X0af5d121abf4377f1330e859dbadedf6266cc55"/>
    <w:p>
      <w:pPr>
        <w:pStyle w:val="Heading1"/>
      </w:pPr>
      <w:r>
        <w:t xml:space="preserve">III. The Professional Profile: Skills and Specializations</w:t>
      </w:r>
    </w:p>
    <w:p>
      <w:pPr>
        <w:pStyle w:val="FirstParagraph"/>
      </w:pPr>
      <w:r>
        <w:t xml:space="preserve">The role of a</w:t>
      </w:r>
      <w:r>
        <w:t xml:space="preserve"> </w:t>
      </w:r>
      <w:r>
        <w:rPr>
          <w:bCs/>
          <w:b/>
        </w:rPr>
        <w:t xml:space="preserve">Graphic Designer</w:t>
      </w:r>
      <w:r>
        <w:t xml:space="preserve"> </w:t>
      </w:r>
      <w:r>
        <w:t xml:space="preserve">in</w:t>
      </w:r>
      <w:r>
        <w:t xml:space="preserve"> </w:t>
      </w:r>
      <w:r>
        <w:rPr>
          <w:bCs/>
          <w:b/>
        </w:rPr>
        <w:t xml:space="preserve">Germany Berlin</w:t>
      </w:r>
      <w:r>
        <w:rPr>
          <w:iCs/>
          <w:i/>
        </w:rPr>
        <w:t xml:space="preserve">,</w:t>
      </w:r>
      <w:r>
        <w:t xml:space="preserve"> </w:t>
      </w:r>
      <w:r>
        <w:t xml:space="preserve">societally and economically, is diverse. Unlike monolithic roles in other regions, the modern designer here must often possess a "T-shaped" skill set: broad knowledge across multiple media (print, digital, environmental) with deep expertise in at least one area. In</w:t>
      </w:r>
      <w:r>
        <w:t xml:space="preserve"> </w:t>
      </w:r>
      <w:r>
        <w:rPr>
          <w:bCs/>
          <w:b/>
        </w:rPr>
        <w:t xml:space="preserve">Germany Berlin</w:t>
      </w:r>
      <w:r>
        <w:t xml:space="preserve">, the demand for high-end brand identity design remains strong due to the city’s status as a hub for startups, tech companies, and international corporations.</w:t>
      </w:r>
    </w:p>
    <w:p>
      <w:pPr>
        <w:pStyle w:val="BodyText"/>
      </w:pPr>
      <w:r>
        <w:t xml:space="preserve">Furthermore, typographic excellence is highly valued in</w:t>
      </w:r>
      <w:r>
        <w:t xml:space="preserve"> </w:t>
      </w:r>
      <w:r>
        <w:rPr>
          <w:bCs/>
          <w:b/>
        </w:rPr>
        <w:t xml:space="preserve">Germany Berlin</w:t>
      </w:r>
      <w:r>
        <w:t xml:space="preserve">. Given Germany’s rich printing history and linguistic complexity (with compound words requiring specific kerning and spacing considerations), a</w:t>
      </w:r>
    </w:p>
    <w:bookmarkEnd w:id="23"/>
    <w:bookmarkStart w:id="24" w:name="X45008669173c3264a4153a3c1319684ee59725b"/>
    <w:p>
      <w:pPr>
        <w:pStyle w:val="Heading1"/>
      </w:pPr>
      <w:r>
        <w:t xml:space="preserve">IV. Cultural Integration and Multicultural Visuals</w:t>
      </w:r>
    </w:p>
    <w:p>
      <w:pPr>
        <w:pStyle w:val="FirstParagraph"/>
      </w:pPr>
      <w:r>
        <w:rPr>
          <w:bCs/>
          <w:b/>
        </w:rPr>
        <w:t xml:space="preserve">Germany Berlin</w:t>
      </w:r>
      <w:r>
        <w:t xml:space="preserve"> </w:t>
      </w:r>
      <w:r>
        <w:t xml:space="preserve">society is one of the most diverse in Europe. Consequently, the work produced by a Graphic Designer operating in this environment must be culturally sensitive and visually literate across boundaries.</w:t>
      </w:r>
    </w:p>
    <w:p>
      <w:pPr>
        <w:pStyle w:val="BodyText"/>
      </w:pPr>
      <w:r>
        <w:t xml:space="preserve">This cultural integration manifests in various sectors. In marketing campaigns for tourism or public services, a</w:t>
      </w:r>
    </w:p>
    <w:bookmarkEnd w:id="24"/>
    <w:bookmarkStart w:id="25" w:name="X6641b99da2a9c14b90cda7b5f4aac4b824c6da7"/>
    <w:p>
      <w:pPr>
        <w:pStyle w:val="Heading1"/>
      </w:pPr>
      <w:r>
        <w:t xml:space="preserve">V. Economic Landscape and Industry Challenges</w:t>
      </w:r>
    </w:p>
    <w:p>
      <w:pPr>
        <w:pStyle w:val="FirstParagraph"/>
      </w:pPr>
      <w:r>
        <w:t xml:space="preserve">The economic environment for creative professionals in</w:t>
      </w:r>
    </w:p>
    <w:p>
      <w:pPr>
        <w:pStyle w:val="BodyText"/>
      </w:pPr>
      <w:r>
        <w:t xml:space="preserve">Besides, the competitive nature of the freelance market in . Understanding local labor laws, copyright regulations within the European Union, and ethical standards regarding data privacy (GDPR) is crucial for any professional operating in this jurisdiction.</w:t>
      </w:r>
    </w:p>
    <w:bookmarkEnd w:id="25"/>
    <w:bookmarkStart w:id="26" w:name="X70ee220aaa6b2ea19168f0aaf5106c45e6707fc"/>
    <w:p>
      <w:pPr>
        <w:pStyle w:val="Heading1"/>
      </w:pPr>
      <w:r>
        <w:t xml:space="preserve">VI. Future Trends: Sustainability and Digital Immersion</w:t>
      </w:r>
    </w:p>
    <w:p>
      <w:pPr>
        <w:pStyle w:val="FirstParagraph"/>
      </w:pPr>
      <w:r>
        <w:t xml:space="preserve">Looking forward, the role of the</w:t>
      </w:r>
      <w:r>
        <w:t xml:space="preserve"> </w:t>
      </w:r>
      <w:r>
        <w:rPr>
          <w:iCs/>
          <w:i/>
        </w:rPr>
        <w:t xml:space="preserve">,</w:t>
      </w:r>
      <w:r>
        <w:t xml:space="preserve"> </w:t>
      </w:r>
      <w:r>
        <w:t xml:space="preserve">societally is increasingly tied to themes of sustainability and digital transformation. As a leader in green technology and environmental policy, Germany places a high premium on eco-friendly design practices. This includes sustainable printing methods, ethical sourcing of materials, and digital-first strategies that reduce carbon footprints.</w:t>
      </w:r>
    </w:p>
    <w:p>
      <w:pPr>
        <w:pStyle w:val="BodyText"/>
      </w:pPr>
      <w:r>
        <w:t xml:space="preserve">Additionally, the integration of augmented reality (AR) and virtual reality (VR) into design projects is becoming prevalent in</w:t>
      </w:r>
      <w:r>
        <w:t xml:space="preserve"> </w:t>
      </w:r>
      <w:r>
        <w:rPr>
          <w:iCs/>
          <w:i/>
        </w:rPr>
        <w:t xml:space="preserve">,</w:t>
      </w:r>
      <w:r>
        <w:t xml:space="preserve"> </w:t>
      </w:r>
      <w:r>
        <w:t xml:space="preserve">societal museums, galleries, and advertising campaigns. A forward-thinking</w:t>
      </w:r>
    </w:p>
    <w:bookmarkEnd w:id="26"/>
    <w:bookmarkStart w:id="27" w:name="vii.-conclusion"/>
    <w:p>
      <w:pPr>
        <w:pStyle w:val="Heading1"/>
      </w:pPr>
      <w:r>
        <w:t xml:space="preserve">VII. Conclusion</w:t>
      </w:r>
    </w:p>
    <w:p>
      <w:pPr>
        <w:pStyle w:val="FirstParagraph"/>
      </w:pPr>
      <w:r>
        <w:t xml:space="preserve">In conclusion, the profession of a</w:t>
      </w:r>
      <w:r>
        <w:t xml:space="preserve"> </w:t>
      </w:r>
      <w:r>
        <w:rPr>
          <w:iCs/>
          <w:i/>
        </w:rPr>
        <w:t xml:space="preserve">,</w:t>
      </w:r>
      <w:r>
        <w:t xml:space="preserve"> </w:t>
      </w:r>
      <w:r>
        <w:t xml:space="preserve">societal is complex, layered, and deeply influential. It is a role that demands respect for historical legacy while aggressively pursuing future innovations. The designer serves as a visual translator for the city’s diverse population, an economic actor within a competitive market, and a cultural commentator on societal issues.</w:t>
      </w:r>
    </w:p>
    <w:p>
      <w:pPr>
        <w:pStyle w:val="BodyText"/>
      </w:pPr>
      <w:r>
        <w:t xml:space="preserve">The interplay between the rigorous standards of German design tradition and the fluid, chaotic creativity of Berlin’s contemporary culture creates a unique professional niche. For those who thrive in this environment, being a</w:t>
      </w:r>
    </w:p>
    <w:bookmarkEnd w:id="27"/>
    <w:bookmarkStart w:id="28" w:name="viii.-references"/>
    <w:p>
      <w:pPr>
        <w:pStyle w:val="Heading1"/>
      </w:pPr>
      <w:r>
        <w:t xml:space="preserve">VIII. References</w:t>
      </w:r>
    </w:p>
    <w:p>
      <w:pPr>
        <w:pStyle w:val="FirstParagraph"/>
      </w:pPr>
      <w:r>
        <w:rPr>
          <w:iCs/>
          <w:i/>
        </w:rPr>
        <w:t xml:space="preserve">Note: The following references are illustrative for the purpose of this term paper structure.</w:t>
      </w:r>
    </w:p>
    <w:p>
      <w:pPr>
        <w:numPr>
          <w:ilvl w:val="0"/>
          <w:numId w:val="1001"/>
        </w:numPr>
        <w:pStyle w:val="Compact"/>
      </w:pPr>
      <w:r>
        <w:t xml:space="preserve">Bauhaus Archive Berlin. (2023).</w:t>
      </w:r>
      <w:r>
        <w:t xml:space="preserve"> </w:t>
      </w:r>
      <w:r>
        <w:rPr>
          <w:bCs/>
          <w:b/>
        </w:rPr>
        <w:t xml:space="preserve">The Legacy of Modernism in Contemporary Graphic Design.</w:t>
      </w:r>
    </w:p>
    <w:p>
      <w:pPr>
        <w:numPr>
          <w:ilvl w:val="0"/>
          <w:numId w:val="1001"/>
        </w:numPr>
        <w:pStyle w:val="Compact"/>
      </w:pPr>
      <w:r>
        <w:t xml:space="preserve">Hoffmann, K. (2021). "Urban Aesthetics and Multiculturalism in Post-Reunification Berlin." Journal of European Cultural Studies.</w:t>
      </w:r>
    </w:p>
    <w:p>
      <w:pPr>
        <w:numPr>
          <w:ilvl w:val="0"/>
          <w:numId w:val="1001"/>
        </w:numPr>
        <w:pStyle w:val="Compact"/>
      </w:pPr>
      <w:r>
        <w:t xml:space="preserve">German Design Council. (2022). "Sustainability and Ethics in Professional Graphic Practice."</w:t>
      </w:r>
    </w:p>
    <w:p>
      <w:pPr>
        <w:numPr>
          <w:ilvl w:val="0"/>
          <w:numId w:val="1001"/>
        </w:numPr>
        <w:pStyle w:val="Compact"/>
      </w:pPr>
      <w:r>
        <w:t xml:space="preserve">Müller, S. &amp; Schmidt, L. (2019). "Typography and Language: Navigating the Complexities of German Visual Communication." Typography Quarterly.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Germany Berlin</dc:title>
  <dc:creator/>
  <dc:language>en</dc:language>
  <cp:keywords/>
  <dcterms:created xsi:type="dcterms:W3CDTF">2026-07-29T03:30:16Z</dcterms:created>
  <dcterms:modified xsi:type="dcterms:W3CDTF">2026-07-29T03:30:16Z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