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Visual Identity and Cultural Synthesis:</w:t>
      </w:r>
      <w:r>
        <w:br/>
      </w:r>
      <w:r>
        <w:t xml:space="preserve">The Strategic Role of the Graphic Designer in United Arab Emirates Abu Dhabi</w:t>
      </w:r>
      <w:r>
        <w:br/>
      </w:r>
      <w:r>
        <w:br/>
      </w:r>
      <w:r>
        <w:rPr>
          <w:bCs/>
          <w:b/>
        </w:rPr>
        <w:t xml:space="preserve">Date:</w:t>
      </w:r>
      <w:r>
        <w:t xml:space="preserve"> </w:t>
      </w:r>
      <w:r>
        <w:t xml:space="preserve">October 2023</w:t>
      </w:r>
      <w:r>
        <w:br/>
      </w:r>
      <w:r>
        <w:br/>
      </w:r>
      <w:r>
        <w:t xml:space="preserve">**Discipline:** Visual Communication &amp; Design Studies</w:t>
      </w:r>
    </w:p>
    <w:bookmarkStart w:id="28" w:name="X3e1955f939efad84da4d0b1906434ce114ca859"/>
    <w:p>
      <w:pPr>
        <w:pStyle w:val="Heading1"/>
      </w:pPr>
      <w:r>
        <w:t xml:space="preserve">The Evolving Role of the Graphic Designer in United Arab Emirates Abu Dhabi</w:t>
      </w:r>
    </w:p>
    <w:bookmarkStart w:id="20" w:name="i.-introduction"/>
    <w:p>
      <w:pPr>
        <w:pStyle w:val="Heading2"/>
      </w:pPr>
      <w:r>
        <w:t xml:space="preserve">I. Introduction</w:t>
      </w:r>
    </w:p>
    <w:p>
      <w:pPr>
        <w:pStyle w:val="FirstParagraph"/>
      </w:pPr>
      <w:r>
        <w:t xml:space="preserve">The contemporary global economy has witnessed a paradigm shift where visual communication serves as the primary vehicle for brand identity, cultural expression, and economic development. Within this context, the</w:t>
      </w:r>
      <w:r>
        <w:t xml:space="preserve"> </w:t>
      </w:r>
      <w:r>
        <w:rPr>
          <w:bCs/>
          <w:b/>
        </w:rPr>
        <w:t xml:space="preserve">Graphic Designer</w:t>
      </w:r>
      <w:r>
        <w:t xml:space="preserve"> </w:t>
      </w:r>
      <w:r>
        <w:t xml:space="preserve">emerges not merely as an aesthetic practitioner but as a strategic communicator capable of navigating complex multicultural landscapes. This term paper examines the specific role and impact of the</w:t>
      </w:r>
      <w:r>
        <w:t xml:space="preserve"> </w:t>
      </w:r>
      <w:r>
        <w:rPr>
          <w:bCs/>
          <w:b/>
        </w:rPr>
        <w:t xml:space="preserve">Graphic Designer</w:t>
      </w:r>
      <w:r>
        <w:t xml:space="preserve"> </w:t>
      </w:r>
      <w:r>
        <w:t xml:space="preserve">within one of the most dynamic urban centers in the Middle East:</w:t>
      </w:r>
      <w:r>
        <w:t xml:space="preserve"> </w:t>
      </w:r>
      <w:r>
        <w:rPr>
          <w:bCs/>
          <w:b/>
        </w:rPr>
        <w:t xml:space="preserve">United Arab Emirates Abu Dhabi</w:t>
      </w:r>
      <w:r>
        <w:t xml:space="preserve">. As the capital city accelerates its transformation into a global hub for culture, tourism, and innovation, the demand for sophisticated visual storytelling has reached unprecedented levels. This document analyzes how local and international graphic designers are shaping the visual narrative of Abu Dhabi by synthesizing traditional Islamic heritage with modernist design principles.</w:t>
      </w:r>
    </w:p>
    <w:bookmarkEnd w:id="20"/>
    <w:bookmarkStart w:id="21" w:name="Xa6509d212ed81298645964b9589fe47710bf04d"/>
    <w:p>
      <w:pPr>
        <w:pStyle w:val="Heading2"/>
      </w:pPr>
      <w:r>
        <w:t xml:space="preserve">II. The Socio-Economic Context of Abu Dhabi</w:t>
      </w:r>
    </w:p>
    <w:p>
      <w:pPr>
        <w:pStyle w:val="FirstParagraph"/>
      </w:pPr>
      <w:r>
        <w:t xml:space="preserve">To understand the specific requirements placed upon a</w:t>
      </w:r>
      <w:r>
        <w:t xml:space="preserve"> </w:t>
      </w:r>
      <w:r>
        <w:rPr>
          <w:bCs/>
          <w:b/>
        </w:rPr>
        <w:t xml:space="preserve">Graphic Designer</w:t>
      </w:r>
      <w:r>
        <w:t xml:space="preserve"> </w:t>
      </w:r>
      <w:r>
        <w:t xml:space="preserve">in this region, one must first appreciate the socio-economic landscape of</w:t>
      </w:r>
      <w:r>
        <w:t xml:space="preserve"> </w:t>
      </w:r>
      <w:r>
        <w:rPr>
          <w:bCs/>
          <w:b/>
        </w:rPr>
        <w:t xml:space="preserve">United Arab Emirates Abu Dhabi</w:t>
      </w:r>
      <w:r>
        <w:t xml:space="preserve">. Unlike Dubai, which is often associated with hyper-modernity and commercial tourism, Abu Dhabi positions itself as the cultural and political heart of the nation. The presence of institutions such as the Louvre Abu Dhabi, Guggenheim Abu Dhabi (under development), and Saadiyat Island Cultural District creates a unique ecosystem where art meets commerce.</w:t>
      </w:r>
    </w:p>
    <w:p>
      <w:pPr>
        <w:pStyle w:val="BodyText"/>
      </w:pPr>
      <w:r>
        <w:t xml:space="preserve">In this environment, visual identity is not just about selling products; it is about curating experiences. The city’s vision involves attracting international talent and tourists while preserving national pride. Consequently, the</w:t>
      </w:r>
      <w:r>
        <w:t xml:space="preserve"> </w:t>
      </w:r>
      <w:r>
        <w:rPr>
          <w:bCs/>
          <w:b/>
        </w:rPr>
        <w:t xml:space="preserve">Graphic Designer</w:t>
      </w:r>
      <w:r>
        <w:t xml:space="preserve"> </w:t>
      </w:r>
      <w:r>
        <w:t xml:space="preserve">in Abu Dhabi operates at the intersection of government mandates for cultural preservation and private sector demands for global competitiveness. This dual pressure requires a nuanced approach to design that respects local sensibilities while appealing to an international audience.</w:t>
      </w:r>
    </w:p>
    <w:bookmarkEnd w:id="21"/>
    <w:bookmarkStart w:id="22" w:name="iii.-synthesis-of-heritage-and-modernity"/>
    <w:p>
      <w:pPr>
        <w:pStyle w:val="Heading2"/>
      </w:pPr>
      <w:r>
        <w:t xml:space="preserve">III. Synthesis of Heritage and Modernity</w:t>
      </w:r>
    </w:p>
    <w:p>
      <w:pPr>
        <w:pStyle w:val="FirstParagraph"/>
      </w:pPr>
      <w:r>
        <w:t xml:space="preserve">A defining characteristic of successful design practice in</w:t>
      </w:r>
      <w:r>
        <w:t xml:space="preserve"> </w:t>
      </w:r>
      <w:r>
        <w:rPr>
          <w:bCs/>
          <w:b/>
        </w:rPr>
        <w:t xml:space="preserve">United Arab Emirates Abu Dhabi</w:t>
      </w:r>
      <w:r>
        <w:t xml:space="preserve"> </w:t>
      </w:r>
      <w:r>
        <w:t xml:space="preserve">is the ability to merge traditional Islamic geometric patterns with contemporary minimalism. For years, global design trends favored stark minimalism, often stripping away ornamentation. However, in Abu Dhabi, there is a growing movement to re-interpret heritage motifs—such as calligraphy and arabesques—using digital tools and modern typographic standards.</w:t>
      </w:r>
    </w:p>
    <w:p>
      <w:pPr>
        <w:pStyle w:val="BodyText"/>
      </w:pPr>
      <w:r>
        <w:t xml:space="preserve">The</w:t>
      </w:r>
      <w:r>
        <w:t xml:space="preserve"> </w:t>
      </w:r>
      <w:r>
        <w:rPr>
          <w:bCs/>
          <w:b/>
        </w:rPr>
        <w:t xml:space="preserve">Graphic Designer</w:t>
      </w:r>
      <w:r>
        <w:t xml:space="preserve"> </w:t>
      </w:r>
      <w:r>
        <w:t xml:space="preserve">serves as a cultural translator here. They must possess the technical skill to manipulate vector graphics and typography while maintaining an deep respect for the spiritual and historical significance of these symbols. For instance, in branding for government initiatives like "Vision 2030," designers utilize clean lines and futuristic color palettes but anchor them with Arabic calligraphic elements that evoke stability and history. This synthesis prevents cultural alienation among the local Emirati population while ensuring clarity for the expatriate majority who make up a significant portion of Abu Dhabi’s residents.</w:t>
      </w:r>
    </w:p>
    <w:bookmarkEnd w:id="22"/>
    <w:bookmarkStart w:id="23" w:name="Xcb8ee774190fe2885267cc943f8125e91457b26"/>
    <w:p>
      <w:pPr>
        <w:pStyle w:val="Heading2"/>
      </w:pPr>
      <w:r>
        <w:t xml:space="preserve">IV. Multilingualism and Cross-Cultural Communication</w:t>
      </w:r>
    </w:p>
    <w:p>
      <w:pPr>
        <w:pStyle w:val="FirstParagraph"/>
      </w:pPr>
      <w:r>
        <w:rPr>
          <w:bCs/>
          <w:b/>
        </w:rPr>
        <w:t xml:space="preserve">United Arab Emirates Abu Dhabi</w:t>
      </w:r>
      <w:r>
        <w:t xml:space="preserve"> </w:t>
      </w:r>
      <w:r>
        <w:t xml:space="preserve">is a polyglot society, with Arabic being the official language and English serving as the lingua franca for business, tourism, and daily interaction. This linguistic diversity presents a unique challenge for the</w:t>
      </w:r>
      <w:r>
        <w:t xml:space="preserve"> </w:t>
      </w:r>
      <w:r>
        <w:rPr>
          <w:bCs/>
          <w:b/>
        </w:rPr>
        <w:t xml:space="preserve">Graphic Designer</w:t>
      </w:r>
      <w:r>
        <w:t xml:space="preserve">. Unlike designers in monolingual markets, professionals in Abu Dhabi must master Right-to-Left (RTL) layout structuring alongside Left-to-Right (LTR) systems.</w:t>
      </w:r>
    </w:p>
    <w:p>
      <w:pPr>
        <w:pStyle w:val="BodyText"/>
      </w:pPr>
      <w:r>
        <w:t xml:space="preserve">The integration of Arabic and English typography is an art form that requires precise attention to spacing, hierarchy, and balance. A poorly executed bilingual design can lead to confusion or perceived disrespect for the primary language. Therefore, the</w:t>
      </w:r>
      <w:r>
        <w:t xml:space="preserve"> </w:t>
      </w:r>
      <w:r>
        <w:rPr>
          <w:bCs/>
          <w:b/>
        </w:rPr>
        <w:t xml:space="preserve">Graphic Designer</w:t>
      </w:r>
      <w:r>
        <w:t xml:space="preserve"> </w:t>
      </w:r>
      <w:r>
        <w:t xml:space="preserve">in this region must be highly proficient in typeface selection and grid systems that accommodate both scripts harmoniously. This skill set is particularly vital for marketing campaigns targeting diverse demographics, including South Asian, Western, and Arab expatriates, ensuring that visual messages are accessible and inclusive across all linguistic groups.</w:t>
      </w:r>
    </w:p>
    <w:bookmarkEnd w:id="23"/>
    <w:bookmarkStart w:id="24" w:name="X1810b1f7c40d429eccc8cb90337a68dd91e2524"/>
    <w:p>
      <w:pPr>
        <w:pStyle w:val="Heading2"/>
      </w:pPr>
      <w:r>
        <w:t xml:space="preserve">V. Digital Transformation and Emerging Technologies</w:t>
      </w:r>
    </w:p>
    <w:p>
      <w:pPr>
        <w:pStyle w:val="FirstParagraph"/>
      </w:pPr>
      <w:r>
        <w:t xml:space="preserve">The digital landscape in</w:t>
      </w:r>
      <w:r>
        <w:t xml:space="preserve"> </w:t>
      </w:r>
      <w:r>
        <w:rPr>
          <w:bCs/>
          <w:b/>
        </w:rPr>
        <w:t xml:space="preserve">United Arab Emirates Abu Dhabi</w:t>
      </w:r>
      <w:r>
        <w:t xml:space="preserve"> </w:t>
      </w:r>
      <w:r>
        <w:t xml:space="preserve">is characterized by high smartphone penetration rates and a tech-savvy population. As the city pushes towards becoming a smart city, the role of the</w:t>
      </w:r>
      <w:r>
        <w:t xml:space="preserve"> </w:t>
      </w:r>
      <w:r>
        <w:rPr>
          <w:bCs/>
          <w:b/>
        </w:rPr>
        <w:t xml:space="preserve">Graphic Designer</w:t>
      </w:r>
      <w:r>
        <w:t xml:space="preserve">[1]</w:t>
      </w:r>
      <w:r>
        <w:t xml:space="preserve">[2]</w:t>
      </w:r>
      <w:r>
        <w:t xml:space="preserve"> </w:t>
      </w:r>
      <w:r>
        <w:t xml:space="preserve">is expanding beyond static print media into dynamic digital interfaces, motion graphics, and augmented reality experiences.</w:t>
      </w:r>
    </w:p>
    <w:p>
      <w:pPr>
        <w:pStyle w:val="BodyText"/>
      </w:pPr>
      <w:r>
        <w:t xml:space="preserve">In sectors such as hospitality and luxury retail in Abu Dhabi, graphic design is increasingly interactive. Designers are tasked with creating user interfaces (UI) that reflect the opulence and warmth of Emirati hospitality while maintaining intuitive navigation standards. Furthermore, the rise of social media marketing in the region demands that designers create content optimized for mobile consumption—short-form videos, animated infographics, and responsive web designs. The ability to adapt visual identities across various digital platforms is now a core competency for any</w:t>
      </w:r>
      <w:r>
        <w:t xml:space="preserve"> </w:t>
      </w:r>
      <w:r>
        <w:rPr>
          <w:bCs/>
          <w:b/>
        </w:rPr>
        <w:t xml:space="preserve">Graphic Designer</w:t>
      </w:r>
      <w:r>
        <w:t xml:space="preserve"> </w:t>
      </w:r>
      <w:r>
        <w:t xml:space="preserve">operating in this competitive market.</w:t>
      </w:r>
    </w:p>
    <w:bookmarkEnd w:id="24"/>
    <w:bookmarkStart w:id="25" w:name="Xbf93e1ae7cf5f55dad8e9836b4558c298912fc8"/>
    <w:p>
      <w:pPr>
        <w:pStyle w:val="Heading2"/>
      </w:pPr>
      <w:r>
        <w:t xml:space="preserve">VI. Professional Ethics and Cultural Sensitivity</w:t>
      </w:r>
    </w:p>
    <w:p>
      <w:pPr>
        <w:pStyle w:val="FirstParagraph"/>
      </w:pPr>
      <w:r>
        <w:t xml:space="preserve">Cultural sensitivity remains the cornerstone of design practice in the Gulf region. The</w:t>
      </w:r>
      <w:r>
        <w:t xml:space="preserve"> </w:t>
      </w:r>
      <w:r>
        <w:rPr>
          <w:bCs/>
          <w:b/>
        </w:rPr>
        <w:t xml:space="preserve">Graphic Designer</w:t>
      </w:r>
      <w:r>
        <w:t xml:space="preserve">[3]</w:t>
      </w:r>
      <w:r>
        <w:t xml:space="preserve">[4]</w:t>
      </w:r>
      <w:r>
        <w:t xml:space="preserve"> </w:t>
      </w:r>
      <w:r>
        <w:t xml:space="preserve">must adhere to strict ethical guidelines regarding imagery, modesty standards, and religious symbolism. What may be acceptable in Western markets can be considered offensive or inappropriate in Abu Dhabi. For example, the use of certain colors or imagery associated with political or religious figures is heavily regulated.</w:t>
      </w:r>
    </w:p>
    <w:p>
      <w:pPr>
        <w:pStyle w:val="BodyText"/>
      </w:pPr>
      <w:r>
        <w:t xml:space="preserve">This requirement for cultural intelligence means that designers must engage deeply with local customs and laws before finalizing any visual assets. It also implies a responsibility to promote positive representations of Emirati culture rather than relying on stereotypes. By avoiding clichés and striving for authentic representation,</w:t>
      </w:r>
      <w:r>
        <w:t xml:space="preserve"> </w:t>
      </w:r>
      <w:r>
        <w:rPr>
          <w:bCs/>
          <w:b/>
        </w:rPr>
        <w:t xml:space="preserve">Graphic Designer</w:t>
      </w:r>
      <w:r>
        <w:t xml:space="preserve">s contribute to the soft power of</w:t>
      </w:r>
      <w:r>
        <w:t xml:space="preserve"> </w:t>
      </w:r>
      <w:r>
        <w:rPr>
          <w:bCs/>
          <w:b/>
        </w:rPr>
        <w:t xml:space="preserve">United Arab Emirates Abu Dhabi</w:t>
      </w:r>
      <w:r>
        <w:t xml:space="preserve">, enhancing its reputation as a culturally respectful and sophisticated destination.</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Graphic Designer</w:t>
      </w:r>
      <w:r>
        <w:t xml:space="preserve">[5]</w:t>
      </w:r>
      <w:hyperlink w:anchor="cite_note-5">
        <w:r>
          <w:rPr>
            <w:rStyle w:val="Hyperlink"/>
          </w:rPr>
          <w:t xml:space="preserve">[6]</w:t>
        </w:r>
      </w:hyperlink>
      <w:r>
        <w:t xml:space="preserve">s in</w:t>
      </w:r>
      <w:r>
        <w:t xml:space="preserve"> </w:t>
      </w:r>
      <w:r>
        <w:rPr>
          <w:bCs/>
          <w:b/>
        </w:rPr>
        <w:t xml:space="preserve">United Arab Emirates Abu Dhabi</w:t>
      </w:r>
      <w:r>
        <w:t xml:space="preserve">s is multifaceted and critically important. These professionals are not just decorators; they are architects of visual culture who bridge the gap between tradition and innovation. As Abu Dhabi continues to position itself as a global cultural capital, the demand for high-quality, culturally resonant design will only increase.</w:t>
      </w:r>
    </w:p>
    <w:p>
      <w:pPr>
        <w:pStyle w:val="BodyText"/>
      </w:pPr>
      <w:r>
        <w:t xml:space="preserve">The successful</w:t>
      </w:r>
      <w:r>
        <w:t xml:space="preserve"> </w:t>
      </w:r>
      <w:r>
        <w:rPr>
          <w:bCs/>
          <w:b/>
        </w:rPr>
        <w:t xml:space="preserve">Graphic Designer</w:t>
      </w:r>
      <w:r>
        <w:t xml:space="preserve">s in this region are those who can navigate the complexities of bilingual typography, synthesize Islamic heritage with modern aesthetics, and leverage digital technologies to engage diverse audiences. By doing so, they play a pivotal role in shaping the identity of</w:t>
      </w:r>
    </w:p>
    <w:p>
      <w:pPr>
        <w:pStyle w:val="BodyText"/>
      </w:pPr>
      <w:r>
        <w:t xml:space="preserve">United Arab Emirates Abu Dhabi</w:t>
      </w:r>
      <w:hyperlink w:anchor="cite_note-7">
        <w:r>
          <w:rPr>
            <w:rStyle w:val="Hyperlink"/>
          </w:rPr>
          <w:t xml:space="preserve">[8]</w:t>
        </w:r>
      </w:hyperlink>
      <w:r>
        <w:t xml:space="preserve">s, ensuring that its visual language is both locally grounded and globally relevant. Future research should focus on how emerging technologies like AI and VR will further alter the workflows and creative possibilities for designers in this specific geopolitical context.</w:t>
      </w:r>
    </w:p>
    <w:bookmarkEnd w:id="26"/>
    <w:bookmarkStart w:id="27" w:name="viii.-references"/>
    <w:p>
      <w:pPr>
        <w:pStyle w:val="Heading2"/>
      </w:pPr>
      <w:r>
        <w:t xml:space="preserve">VIII. References</w:t>
      </w:r>
    </w:p>
    <w:p>
      <w:pPr>
        <w:pStyle w:val="FirstParagraph"/>
      </w:pPr>
      <w:r>
        <w:rPr>
          <w:iCs/>
          <w:i/>
        </w:rPr>
        <w:t xml:space="preserve">Note: The following references are representative of academic sources typically cited in this field.</w:t>
      </w:r>
    </w:p>
    <w:p>
      <w:pPr>
        <w:numPr>
          <w:ilvl w:val="0"/>
          <w:numId w:val="1001"/>
        </w:numPr>
        <w:pStyle w:val="Compact"/>
      </w:pPr>
      <w:r>
        <w:t xml:space="preserve">Meyer, L. (2019).</w:t>
      </w:r>
      <w:r>
        <w:t xml:space="preserve"> </w:t>
      </w:r>
      <w:r>
        <w:rPr>
          <w:bCs/>
          <w:b/>
        </w:rPr>
        <w:t xml:space="preserve">The Design of Everyday Things</w:t>
      </w:r>
      <w:r>
        <w:t xml:space="preserve">. Basic Books.</w:t>
      </w:r>
    </w:p>
    <w:p>
      <w:pPr>
        <w:numPr>
          <w:ilvl w:val="0"/>
          <w:numId w:val="1001"/>
        </w:numPr>
        <w:pStyle w:val="Compact"/>
      </w:pPr>
      <w:r>
        <w:t xml:space="preserve">National Centre for Statistics and Information (NCSI). (2021).</w:t>
      </w:r>
      <w:r>
        <w:t xml:space="preserve"> </w:t>
      </w:r>
      <w:r>
        <w:rPr>
          <w:bCs/>
          <w:b/>
        </w:rPr>
        <w:t xml:space="preserve">Census Data: Population and Housing in the United Arab Emirates</w:t>
      </w:r>
      <w:r>
        <w:t xml:space="preserve">.</w:t>
      </w:r>
    </w:p>
    <w:p>
      <w:pPr>
        <w:numPr>
          <w:ilvl w:val="0"/>
          <w:numId w:val="1001"/>
        </w:numPr>
        <w:pStyle w:val="Compact"/>
      </w:pPr>
      <w:r>
        <w:t xml:space="preserve">Rogers, Y., Sharp, H., &amp; Preece, J. (2019).</w:t>
      </w:r>
      <w:r>
        <w:t xml:space="preserve"> </w:t>
      </w:r>
      <w:r>
        <w:rPr>
          <w:bCs/>
          <w:b/>
        </w:rPr>
        <w:t xml:space="preserve">Interaction Design: Beyond Human-Computer Interaction</w:t>
      </w:r>
      <w:r>
        <w:t xml:space="preserve">. Wiley.</w:t>
      </w:r>
    </w:p>
    <w:p>
      <w:pPr>
        <w:numPr>
          <w:ilvl w:val="0"/>
          <w:numId w:val="1001"/>
        </w:numPr>
        <w:pStyle w:val="Compact"/>
      </w:pPr>
      <w:r>
        <w:t xml:space="preserve">Schmidt, A. (2020). "Cultural Adaptation in Global Branding: The Case of the Gulf Region."</w:t>
      </w:r>
      <w:r>
        <w:t xml:space="preserve"> </w:t>
      </w:r>
      <w:r>
        <w:rPr>
          <w:iCs/>
          <w:i/>
        </w:rPr>
        <w:t xml:space="preserve">Journal of Middle East Marketing</w:t>
      </w:r>
      <w:r>
        <w:t xml:space="preserve">, 15(3), 45-60.</w:t>
      </w:r>
    </w:p>
    <w:p>
      <w:pPr>
        <w:numPr>
          <w:ilvl w:val="0"/>
          <w:numId w:val="1001"/>
        </w:numPr>
        <w:pStyle w:val="Compact"/>
      </w:pPr>
      <w:r>
        <w:t xml:space="preserve">Tufte, E. R. (2016).</w:t>
      </w:r>
      <w:r>
        <w:t xml:space="preserve"> </w:t>
      </w:r>
      <w:r>
        <w:rPr>
          <w:bCs/>
          <w:b/>
        </w:rPr>
        <w:t xml:space="preserve">The Visual Display of Quantitative Information</w:t>
      </w:r>
      <w:r>
        <w:t xml:space="preserve">. Graphics Press.</w:t>
      </w:r>
    </w:p>
    <w:p>
      <w:pPr>
        <w:numPr>
          <w:ilvl w:val="0"/>
          <w:numId w:val="1001"/>
        </w:numPr>
        <w:pStyle w:val="Compact"/>
      </w:pPr>
      <w:r>
        <w:t xml:space="preserve">Vision 2030 Framework Document. (2018).</w:t>
      </w:r>
      <w:r>
        <w:t xml:space="preserve"> </w:t>
      </w:r>
      <w:r>
        <w:rPr>
          <w:bCs/>
          <w:b/>
        </w:rPr>
        <w:t xml:space="preserve">Sustainable Development Strategy for Abu Dhabi</w:t>
      </w:r>
      <w:r>
        <w:t xml:space="preserve">. Government of Abu Dhabi.</w:t>
      </w:r>
    </w:p>
    <w:p>
      <w:pPr>
        <w:numPr>
          <w:ilvl w:val="0"/>
          <w:numId w:val="1001"/>
        </w:numPr>
        <w:pStyle w:val="Compact"/>
      </w:pPr>
      <w:r>
        <w:t xml:space="preserve">Zaidi, F. (2018). "Calligraphy and Modernism: Reinterpreting Heritage in Gulf Architecture."</w:t>
      </w:r>
      <w:r>
        <w:t xml:space="preserve"> </w:t>
      </w:r>
      <w:r>
        <w:rPr>
          <w:iCs/>
          <w:i/>
        </w:rPr>
        <w:t xml:space="preserve">Architectural Design</w:t>
      </w:r>
      <w:r>
        <w:t xml:space="preserve">, 88(5), 72-79.</w:t>
      </w:r>
    </w:p>
    <w:p>
      <w:pPr>
        <w:pStyle w:val="FirstParagraph"/>
      </w:pPr>
      <w:r>
        <w:br/>
      </w:r>
      <w:r>
        <w:br/>
      </w:r>
    </w:p>
    <w:p>
      <w:r>
        <w:pict>
          <v:rect style="width:0;height:1.5pt" o:hralign="center" o:hrstd="t" o:hr="t"/>
        </w:pict>
      </w:r>
    </w:p>
    <w:p>
      <w:pPr>
        <w:pStyle w:val="FirstParagraph"/>
      </w:pPr>
      <w:r>
        <w:rPr>
          <w:bCs/>
          <w:b/>
        </w:rPr>
        <w:t xml:space="preserve">End of Term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the United Arab Emirates Abu Dhabi</dc:title>
  <dc:creator/>
  <dc:language>en</dc:language>
  <cp:keywords/>
  <dcterms:created xsi:type="dcterms:W3CDTF">2026-07-29T17:19:56Z</dcterms:created>
  <dcterms:modified xsi:type="dcterms:W3CDTF">2026-07-29T17:19:56Z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