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Iran</w:t>
      </w:r>
      <w:r>
        <w:t xml:space="preserve"> </w:t>
      </w:r>
      <w:r>
        <w:t xml:space="preserve">Tehran:</w:t>
      </w:r>
      <w:r>
        <w:t xml:space="preserve"> </w:t>
      </w:r>
      <w:r>
        <w:t xml:space="preserve">A</w:t>
      </w:r>
      <w:r>
        <w:t xml:space="preserve"> </w:t>
      </w:r>
      <w:r>
        <w:t xml:space="preserve">Legal</w:t>
      </w:r>
      <w:r>
        <w:t xml:space="preserve"> </w:t>
      </w:r>
      <w:r>
        <w:t xml:space="preserve">and</w:t>
      </w:r>
      <w:r>
        <w:t xml:space="preserve"> </w:t>
      </w:r>
      <w:r>
        <w:t xml:space="preserve">Societal</w:t>
      </w:r>
      <w:r>
        <w:t xml:space="preserve"> </w:t>
      </w:r>
      <w:r>
        <w:t xml:space="preserve">Analysis</w:t>
      </w:r>
    </w:p>
    <w:bookmarkStart w:id="26" w:name="X0b407a07e03d0c2052bbd497f86bdb39789d9d1"/>
    <w:p>
      <w:pPr>
        <w:pStyle w:val="Heading1"/>
      </w:pPr>
      <w:r>
        <w:t xml:space="preserve">The Role and Evolution of the Judge in Iran Tehran:</w:t>
      </w:r>
      <w:r>
        <w:br/>
      </w:r>
      <w:r>
        <w:t xml:space="preserve">A Legal and Societal Analysis</w:t>
      </w:r>
    </w:p>
    <w:bookmarkStart w:id="20" w:name="i.-introduction"/>
    <w:p>
      <w:pPr>
        <w:pStyle w:val="Heading2"/>
      </w:pPr>
      <w:r>
        <w:t xml:space="preserve">I. Introduction</w:t>
      </w:r>
    </w:p>
    <w:p>
      <w:pPr>
        <w:pStyle w:val="FirstParagraph"/>
      </w:pPr>
      <w:r>
        <w:t xml:space="preserve">In the complex tapestry of the Islamic Republic’s legal system, few figures are as central yet as multifaceted as the</w:t>
      </w:r>
      <w:r>
        <w:t xml:space="preserve"> </w:t>
      </w:r>
      <w:r>
        <w:rPr>
          <w:bCs/>
          <w:b/>
        </w:rPr>
        <w:t xml:space="preserve">Judge</w:t>
      </w:r>
      <w:r>
        <w:t xml:space="preserve">. Operating within a unique jurisprudential framework that merges traditional Shi’a jurisprudence (Fiqh) with modern statutory law, the judiciary serves as the bedrock of social order and state authority. When focusing on</w:t>
      </w:r>
      <w:r>
        <w:t xml:space="preserve"> </w:t>
      </w:r>
      <w:r>
        <w:rPr>
          <w:bCs/>
          <w:b/>
        </w:rPr>
        <w:t xml:space="preserve">Iran Tehran</w:t>
      </w:r>
      <w:r>
        <w:t xml:space="preserve">, one must recognize it not merely as a geographical capital but as the epicenter of political decision-making, cultural exchange, and legal administration. This term paper explores the distinct position of the judge in Iran Tehran, analyzing their appointment process, their dual role in interpreting divine versus civil law, and the evolving challenges they face in a rapidly modernizing society.</w:t>
      </w:r>
    </w:p>
    <w:bookmarkEnd w:id="20"/>
    <w:bookmarkStart w:id="21" w:name="Xb8276d6b7660f1160a71d9ef6127c6fa6daedcc"/>
    <w:p>
      <w:pPr>
        <w:pStyle w:val="Heading2"/>
      </w:pPr>
      <w:r>
        <w:t xml:space="preserve">II. The Jurisprudential Foundation: Shari’a and Civil Law</w:t>
      </w:r>
    </w:p>
    <w:p>
      <w:pPr>
        <w:pStyle w:val="FirstParagraph"/>
      </w:pPr>
      <w:r>
        <w:t xml:space="preserve">The primary distinction of the</w:t>
      </w:r>
      <w:r>
        <w:t xml:space="preserve"> </w:t>
      </w:r>
      <w:r>
        <w:rPr>
          <w:bCs/>
          <w:b/>
        </w:rPr>
        <w:t xml:space="preserve">Judge</w:t>
      </w:r>
      <w:r>
        <w:t xml:space="preserve"> </w:t>
      </w:r>
      <w:r>
        <w:t xml:space="preserve">in Iran Tehran lies in their foundational authority. Unlike judges in secular Western systems who interpret statutory law divorced from religious doctrine, a judge in Iran is tasked with ensuring that legal outcomes align with Islamic principles. Article 157 of the Iranian Constitution establishes an independent judiciary, yet it mandates that all laws must be based on Islamic criteria. Consequently, every</w:t>
      </w:r>
      <w:r>
        <w:t xml:space="preserve"> </w:t>
      </w:r>
      <w:r>
        <w:rPr>
          <w:bCs/>
          <w:b/>
        </w:rPr>
        <w:t xml:space="preserve">Judge</w:t>
      </w:r>
      <w:r>
        <w:t xml:space="preserve"> </w:t>
      </w:r>
      <w:r>
        <w:t xml:space="preserve">in</w:t>
      </w:r>
      <w:r>
        <w:t xml:space="preserve"> </w:t>
      </w:r>
      <w:r>
        <w:rPr>
          <w:bCs/>
          <w:b/>
        </w:rPr>
        <w:t xml:space="preserve">Iran Tehran</w:t>
      </w:r>
      <w:r>
        <w:t xml:space="preserve">, from the lower courts to the Supreme Court, is deeply trained in Shi’a jurisprudence (Usul al-Fiqh).</w:t>
      </w:r>
    </w:p>
    <w:p>
      <w:pPr>
        <w:pStyle w:val="BodyText"/>
      </w:pPr>
      <w:r>
        <w:t xml:space="preserve">This dual burden creates a dynamic legal environment. A judge may be confronted with a modern commercial dispute or a cybercrime case that has no explicit precedent in classical texts. In such instances, the</w:t>
      </w:r>
      <w:r>
        <w:t xml:space="preserve"> </w:t>
      </w:r>
      <w:r>
        <w:rPr>
          <w:bCs/>
          <w:b/>
        </w:rPr>
        <w:t xml:space="preserve">Judge</w:t>
      </w:r>
      <w:r>
        <w:t xml:space="preserve"> </w:t>
      </w:r>
      <w:r>
        <w:t xml:space="preserve">must employ juristic reasoning (Ijtihad) to derive rulings that satisfy both the technical requirements of civil code and the broader ethical mandates of Shari’a. This makes the Iranian judge not just an arbiter of disputes, but a guardian of moral integrity as defined by state theology.</w:t>
      </w:r>
    </w:p>
    <w:bookmarkEnd w:id="21"/>
    <w:bookmarkStart w:id="22" w:name="iii.-appointment-and-vetting-in-tehran"/>
    <w:p>
      <w:pPr>
        <w:pStyle w:val="Heading2"/>
      </w:pPr>
      <w:r>
        <w:t xml:space="preserve">III. Appointment and Vetting in Tehran</w:t>
      </w:r>
    </w:p>
    <w:p>
      <w:pPr>
        <w:pStyle w:val="FirstParagraph"/>
      </w:pPr>
      <w:r>
        <w:t xml:space="preserve">The selection process for judges in</w:t>
      </w:r>
      <w:r>
        <w:t xml:space="preserve"> </w:t>
      </w:r>
      <w:r>
        <w:rPr>
          <w:bCs/>
          <w:b/>
        </w:rPr>
        <w:t xml:space="preserve">Iran Tehran</w:t>
      </w:r>
      <w:r>
        <w:t xml:space="preserve"> </w:t>
      </w:r>
      <w:r>
        <w:t xml:space="preserve">is rigorous and heavily politicized, reflecting the city’s role as the power base of the Islamic Republic. According to Article 158 of the Constitution, judges must possess a strong understanding of Shari’a and be trustworthy and pious. The Head of Judiciary, appointed directly by Supreme Leader Ayatollah Ali Khamenei, plays a decisive role in these appointments.</w:t>
      </w:r>
    </w:p>
    <w:p>
      <w:pPr>
        <w:pStyle w:val="BodyText"/>
      </w:pPr>
      <w:r>
        <w:t xml:space="preserve">In practice, candidates in</w:t>
      </w:r>
      <w:r>
        <w:t xml:space="preserve"> </w:t>
      </w:r>
      <w:r>
        <w:rPr>
          <w:bCs/>
          <w:b/>
        </w:rPr>
        <w:t xml:space="preserve">Iran Tehran</w:t>
      </w:r>
      <w:r>
        <w:t xml:space="preserve"> </w:t>
      </w:r>
      <w:r>
        <w:t xml:space="preserve">undergo extensive vetting by the Guardian Council and judicial bodies. This ensures ideological conformity with the principles of Velayat-e Faqih (Guardianship of the Islamic Jurist). For a</w:t>
      </w:r>
      <w:r>
        <w:t xml:space="preserve"> </w:t>
      </w:r>
      <w:r>
        <w:rPr>
          <w:bCs/>
          <w:b/>
        </w:rPr>
        <w:t xml:space="preserve">Judge</w:t>
      </w:r>
      <w:r>
        <w:t xml:space="preserve">, this means their legitimacy is derived as much from their loyalty to the system as from their legal acumen. The concentration of power in Tehran exacerbates this centralization, meaning that elite courts and high-profile political cases are often adjudicated by judges hand-selected for their ideological reliability.</w:t>
      </w:r>
    </w:p>
    <w:bookmarkEnd w:id="22"/>
    <w:bookmarkStart w:id="23" w:name="Xa44bbd9e5a65678abaee59925d7eafdbdcbb7f5"/>
    <w:p>
      <w:pPr>
        <w:pStyle w:val="Heading2"/>
      </w:pPr>
      <w:r>
        <w:t xml:space="preserve">IV. Challenges of Modernization and Social Change</w:t>
      </w:r>
    </w:p>
    <w:p>
      <w:pPr>
        <w:pStyle w:val="FirstParagraph"/>
      </w:pPr>
      <w:r>
        <w:rPr>
          <w:bCs/>
          <w:b/>
        </w:rPr>
        <w:t xml:space="preserve">Iran Tehran</w:t>
      </w:r>
      <w:r>
        <w:t xml:space="preserve">, as a megacity with over 9 million inhabitants, represents the intersection of tradition and modernity. It is home to universities, tech hubs, and a youthful population increasingly exposed to global digital culture. The</w:t>
      </w:r>
      <w:r>
        <w:t xml:space="preserve"> </w:t>
      </w:r>
      <w:r>
        <w:rPr>
          <w:bCs/>
          <w:b/>
        </w:rPr>
        <w:t xml:space="preserve">Judge</w:t>
      </w:r>
      <w:r>
        <w:t xml:space="preserve"> </w:t>
      </w:r>
      <w:r>
        <w:t xml:space="preserve">in this setting faces immense pressure to adapt legal interpretations to contemporary realities.</w:t>
      </w:r>
    </w:p>
    <w:p>
      <w:pPr>
        <w:pStyle w:val="BodyText"/>
      </w:pPr>
      <w:r>
        <w:t xml:space="preserve">For example, issues regarding women's rights, family law (marriage and divorce), and freedom of expression are highly contentious in Tehran. A judge may find themselves balancing traditional conservative interpretations against the lived experiences of urban citizens who seek greater personal freedoms. In</w:t>
      </w:r>
      <w:r>
        <w:t xml:space="preserve"> </w:t>
      </w:r>
      <w:r>
        <w:rPr>
          <w:bCs/>
          <w:b/>
        </w:rPr>
        <w:t xml:space="preserve">Iran Tehran</w:t>
      </w:r>
      <w:r>
        <w:t xml:space="preserve">, judges often have to navigate public opinion and international scrutiny more closely than their counterparts in rural provinces, as the capital is a global media spotlight.</w:t>
      </w:r>
    </w:p>
    <w:bookmarkEnd w:id="23"/>
    <w:bookmarkStart w:id="24" w:name="X900a5f767b5ba5f5a5f517170035e354c16c9a6"/>
    <w:p>
      <w:pPr>
        <w:pStyle w:val="Heading2"/>
      </w:pPr>
      <w:r>
        <w:t xml:space="preserve">V. Digitalization and Judicial Efficiency</w:t>
      </w:r>
    </w:p>
    <w:p>
      <w:pPr>
        <w:pStyle w:val="FirstParagraph"/>
      </w:pPr>
      <w:r>
        <w:t xml:space="preserve">In recent years, the judiciary in</w:t>
      </w:r>
      <w:r>
        <w:t xml:space="preserve"> </w:t>
      </w:r>
      <w:r>
        <w:rPr>
          <w:bCs/>
          <w:b/>
        </w:rPr>
        <w:t xml:space="preserve">Iran Tehran</w:t>
      </w:r>
      <w:r>
        <w:t xml:space="preserve"> </w:t>
      </w:r>
      <w:r>
        <w:t xml:space="preserve">has embarked on significant digital transformation initiatives to reduce case backlogs and improve transparency. The establishment of electronic judicial offices (Sana system) allows citizens to file cases online. For the modern</w:t>
      </w:r>
      <w:r>
        <w:t xml:space="preserve"> </w:t>
      </w:r>
      <w:r>
        <w:rPr>
          <w:bCs/>
          <w:b/>
        </w:rPr>
        <w:t xml:space="preserve">Judge</w:t>
      </w:r>
      <w:r>
        <w:t xml:space="preserve">, this requires proficiency in managing digital evidence and conducting virtual hearings. This technological shift is particularly evident in</w:t>
      </w:r>
      <w:r>
        <w:t xml:space="preserve"> </w:t>
      </w:r>
      <w:r>
        <w:rPr>
          <w:bCs/>
          <w:b/>
        </w:rPr>
        <w:t xml:space="preserve">Iran Tehran</w:t>
      </w:r>
      <w:r>
        <w:t xml:space="preserve">, where infrastructure supports such rapid adoption, aiming to streamline processes for a dense urban population.</w:t>
      </w:r>
    </w:p>
    <w:bookmarkEnd w:id="24"/>
    <w:bookmarkStart w:id="25" w:name="vi.-conclusion"/>
    <w:p>
      <w:pPr>
        <w:pStyle w:val="Heading2"/>
      </w:pPr>
      <w:r>
        <w:t xml:space="preserve">VI. Conclusion</w:t>
      </w:r>
    </w:p>
    <w:p>
      <w:pPr>
        <w:pStyle w:val="FirstParagraph"/>
      </w:pPr>
      <w:r>
        <w:t xml:space="preserve">The position of the</w:t>
      </w:r>
      <w:r>
        <w:t xml:space="preserve"> </w:t>
      </w:r>
      <w:r>
        <w:rPr>
          <w:bCs/>
          <w:b/>
        </w:rPr>
        <w:t xml:space="preserve">Judge</w:t>
      </w:r>
      <w:r>
        <w:t xml:space="preserve"> </w:t>
      </w:r>
      <w:r>
        <w:t xml:space="preserve">in</w:t>
      </w:r>
      <w:r>
        <w:t xml:space="preserve"> </w:t>
      </w:r>
      <w:r>
        <w:rPr>
          <w:bCs/>
          <w:b/>
        </w:rPr>
        <w:t xml:space="preserve">Iran Tehran</w:t>
      </w:r>
      <w:r>
        <w:t xml:space="preserve"> </w:t>
      </w:r>
      <w:r>
        <w:t xml:space="preserve">is pivotal to the stability and functioning of the Islamic Republic. They serve as the bridge between ancient religious dogma and modern statecraft. While their appointment reflects strict ideological oversight, their daily adjudication requires navigating a complex web of civil codes, international human rights expectations, and local social dynamics. As</w:t>
      </w:r>
      <w:r>
        <w:t xml:space="preserve"> </w:t>
      </w:r>
      <w:r>
        <w:rPr>
          <w:bCs/>
          <w:b/>
        </w:rPr>
        <w:t xml:space="preserve">Iran Tehran</w:t>
      </w:r>
      <w:r>
        <w:t xml:space="preserve"> </w:t>
      </w:r>
      <w:r>
        <w:t xml:space="preserve">continues to evolve politically and socially, the role of the judge will remain a critical variable in determining how Iranian law adapts to meet the needs of its citizens while maintaining its foundational ideological commitments.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Iran Tehran: A Legal and Societal Analysis</dc:title>
  <dc:creator/>
  <dc:language>en</dc:language>
  <cp:keywords/>
  <dcterms:created xsi:type="dcterms:W3CDTF">2026-07-29T20:48:37Z</dcterms:created>
  <dcterms:modified xsi:type="dcterms:W3CDTF">2026-07-29T20:48:37Z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