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6cbc97a4d0e5a359a1aa4a01c039e2ca65c035"/>
    <w:p>
      <w:pPr>
        <w:pStyle w:val="Heading1"/>
      </w:pPr>
      <w:r>
        <w:t xml:space="preserve">Term Paper: The Role and Dynamics of the Lawyer in Israel Tel Aviv</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Tel Aviv District Court Jurisdiction</w:t>
      </w:r>
      <w:r>
        <w:br/>
      </w:r>
      <w:r>
        <w:rPr>
          <w:bCs/>
          <w:b/>
        </w:rPr>
        <w:t xml:space="preserve">Subject:</w:t>
      </w:r>
      <w:r>
        <w:t xml:space="preserve"> </w:t>
      </w:r>
      <w:r>
        <w:t xml:space="preserve">Legal Studies and Professional Practice</w:t>
      </w:r>
    </w:p>
    <w:bookmarkEnd w:id="20"/>
    <w:bookmarkStart w:id="21" w:name="i.-introduction"/>
    <w:p>
      <w:pPr>
        <w:pStyle w:val="Heading1"/>
      </w:pPr>
      <w:r>
        <w:t xml:space="preserve">I. Introduction</w:t>
      </w:r>
    </w:p>
    <w:p>
      <w:pPr>
        <w:pStyle w:val="FirstParagraph"/>
      </w:pPr>
      <w:r>
        <w:t xml:space="preserve">The legal profession serves as the backbone of any democratic society, acting as the intermediary between the individual citizen and the state apparatus. Nowhere is this dynamic more intricate or more critical than in</w:t>
      </w:r>
      <w:r>
        <w:t xml:space="preserve"> </w:t>
      </w:r>
      <w:r>
        <w:rPr>
          <w:bCs/>
          <w:b/>
        </w:rPr>
        <w:t xml:space="preserve">Israel Tel Aviv</w:t>
      </w:r>
      <w:r>
        <w:t xml:space="preserve">. As a city that functions not only as Israel's economic capital but also as its cultural and cosmopolitan heart, Tel Aviv presents a unique legal landscape. It is a hub for international business, high-tech innovation, real estate speculation, and complex civil litigation. Consequently, the role of the</w:t>
      </w:r>
      <w:r>
        <w:t xml:space="preserve"> </w:t>
      </w:r>
      <w:r>
        <w:rPr>
          <w:bCs/>
          <w:b/>
        </w:rPr>
        <w:t xml:space="preserve">Lawyer</w:t>
      </w:r>
      <w:r>
        <w:t xml:space="preserve"> </w:t>
      </w:r>
      <w:r>
        <w:t xml:space="preserve">in this specific geographic and socio-economic context extends far beyond traditional courtroom advocacy. This term paper explores the multifaceted responsibilities of the</w:t>
      </w:r>
      <w:r>
        <w:t xml:space="preserve"> </w:t>
      </w:r>
      <w:r>
        <w:rPr>
          <w:bCs/>
          <w:b/>
        </w:rPr>
        <w:t xml:space="preserve">Lawyer</w:t>
      </w:r>
      <w:r>
        <w:t xml:space="preserve">, examining how they navigate the statutory frameworks of</w:t>
      </w:r>
      <w:r>
        <w:t xml:space="preserve"> </w:t>
      </w:r>
      <w:r>
        <w:rPr>
          <w:bCs/>
          <w:b/>
        </w:rPr>
        <w:t xml:space="preserve">Israel Tel Aviv</w:t>
      </w:r>
      <w:r>
        <w:t xml:space="preserve">, adapt to rapid economic changes, and uphold ethical standards amidst a high-pressure professional environment.</w:t>
      </w:r>
    </w:p>
    <w:bookmarkEnd w:id="21"/>
    <w:bookmarkStart w:id="22" w:name="X8f6cc4090d181a1f3f00798b989e7c398237ad5"/>
    <w:p>
      <w:pPr>
        <w:pStyle w:val="Heading1"/>
      </w:pPr>
      <w:r>
        <w:t xml:space="preserve">II. Historical Context and Regulatory Framework in Israel Tel Aviv</w:t>
      </w:r>
    </w:p>
    <w:p>
      <w:pPr>
        <w:pStyle w:val="FirstParagraph"/>
      </w:pPr>
      <w:r>
        <w:t xml:space="preserve">To understand the contemporary</w:t>
      </w:r>
      <w:r>
        <w:t xml:space="preserve"> </w:t>
      </w:r>
      <w:r>
        <w:rPr>
          <w:bCs/>
          <w:b/>
        </w:rPr>
        <w:t xml:space="preserve">Lawyer</w:t>
      </w:r>
      <w:r>
        <w:t xml:space="preserve">, one must first appreciate the historical evolution of the legal profession within</w:t>
      </w:r>
      <w:r>
        <w:t xml:space="preserve"> </w:t>
      </w:r>
      <w:r>
        <w:rPr>
          <w:bCs/>
          <w:b/>
        </w:rPr>
        <w:t xml:space="preserve">Israel Tel Aviv</w:t>
      </w:r>
      <w:r>
        <w:t xml:space="preserve">. Following the establishment of the State of Israel, Tel Aviv became a central venue for judicial proceedings. While Jerusalem holds significant constitutional and religious importance, Tel Aviv emerged as the seat for commercial courts, district courts, and administrative bodies. The Israeli Bar Association has rigorous admission standards; however,</w:t>
      </w:r>
      <w:r>
        <w:rPr>
          <w:bCs/>
          <w:b/>
        </w:rPr>
        <w:t xml:space="preserve">the Lawyer</w:t>
      </w:r>
      <w:r>
        <w:t xml:space="preserve"> </w:t>
      </w:r>
      <w:r>
        <w:t xml:space="preserve">in</w:t>
      </w:r>
      <w:r>
        <w:t xml:space="preserve"> </w:t>
      </w:r>
      <w:r>
        <w:rPr>
          <w:bCs/>
          <w:b/>
        </w:rPr>
        <w:t xml:space="preserve">Israel Tel Aviv</w:t>
      </w:r>
      <w:r>
        <w:t xml:space="preserve"> </w:t>
      </w:r>
      <w:r>
        <w:t xml:space="preserve">operates within a specific ecosystem that differs from rural jurisdictions.</w:t>
      </w:r>
    </w:p>
    <w:p>
      <w:pPr>
        <w:pStyle w:val="BodyText"/>
      </w:pPr>
      <w:r>
        <w:t xml:space="preserve">The regulatory framework governing the</w:t>
      </w:r>
      <w:r>
        <w:t xml:space="preserve"> </w:t>
      </w:r>
      <w:r>
        <w:rPr>
          <w:bCs/>
          <w:b/>
        </w:rPr>
        <w:t xml:space="preserve">Lawyer</w:t>
      </w:r>
    </w:p>
    <w:bookmarkEnd w:id="22"/>
    <w:bookmarkStart w:id="23" w:name="Xdf5bb5ed172d924ac3f5808cfb06dd8cb4a5390"/>
    <w:p>
      <w:pPr>
        <w:pStyle w:val="Heading1"/>
      </w:pPr>
      <w:r>
        <w:t xml:space="preserve">III. The Lawyer in Commercial and High-Tech Litigation</w:t>
      </w:r>
    </w:p>
    <w:p>
      <w:pPr>
        <w:pStyle w:val="FirstParagraph"/>
      </w:pPr>
      <w:r>
        <w:rPr>
          <w:bCs/>
          <w:b/>
        </w:rPr>
        <w:t xml:space="preserve">Israel Tel Aviv</w:t>
      </w:r>
      <w:r>
        <w:t xml:space="preserve">LawyerThe Lawyerin the Tel Aviv commercial sector must possess deep technical understanding alongside legal acumen.</w:t>
      </w:r>
    </w:p>
    <w:p>
      <w:pPr>
        <w:pStyle w:val="BodyText"/>
      </w:pPr>
      <w:r>
        <w:t xml:space="preserve">For instance, a</w:t>
      </w:r>
      <w:r>
        <w:t xml:space="preserve"> </w:t>
      </w:r>
      <w:r>
        <w:rPr>
          <w:bCs/>
          <w:b/>
        </w:rPr>
        <w:t xml:space="preserve">LawyerIsrael Tel Avivmust be well-versed in both local privacy laws and international GDPR standards due to the global nature of Israeli tech exports. The pace of litigation here is accelerated; court schedules are tight, and discovery processes involving digital evidence require sophisticated management skills. Thus, the modern</w:t>
      </w:r>
      <w:r>
        <w:rPr>
          <w:bCs/>
          <w:b/>
        </w:rPr>
        <w:t xml:space="preserve"> </w:t>
      </w:r>
      <w:r>
        <w:rPr>
          <w:bCs/>
          <w:b/>
          <w:bCs/>
          <w:b/>
        </w:rPr>
        <w:t xml:space="preserve">Lawyer</w:t>
      </w:r>
    </w:p>
    <w:bookmarkEnd w:id="23"/>
    <w:bookmarkStart w:id="24" w:name="X863754c9bb8e2a4c5a35d0e254c3196dca6fae2"/>
    <w:p>
      <w:pPr>
        <w:pStyle w:val="Heading1"/>
      </w:pPr>
      <w:r>
        <w:t xml:space="preserve">IV. Civil Litigation and Real Estate Dynamics</w:t>
      </w:r>
    </w:p>
    <w:p>
      <w:pPr>
        <w:pStyle w:val="FirstParagraph"/>
      </w:pPr>
      <w:r>
        <w:t xml:space="preserve">Beyond technology,</w:t>
      </w:r>
      <w:r>
        <w:rPr>
          <w:bCs/>
          <w:b/>
        </w:rPr>
        <w:t xml:space="preserve">The LawyerLawyer</w:t>
      </w:r>
    </w:p>
    <w:p>
      <w:pPr>
        <w:pStyle w:val="BodyText"/>
      </w:pPr>
      <w:r>
        <w:t xml:space="preserve">Furthermore,</w:t>
      </w:r>
      <w:r>
        <w:rPr>
          <w:bCs/>
          <w:b/>
        </w:rPr>
        <w:t xml:space="preserve">The LawyerIsrael Tel AvivLawyer</w:t>
      </w:r>
    </w:p>
    <w:bookmarkEnd w:id="24"/>
    <w:bookmarkStart w:id="25" w:name="X87d48c1aee65e991f066972b663c9f61de84cde"/>
    <w:p>
      <w:pPr>
        <w:pStyle w:val="Heading1"/>
      </w:pPr>
      <w:r>
        <w:t xml:space="preserve">V. Ethical Challenges and Professional Responsibility</w:t>
      </w:r>
    </w:p>
    <w:p>
      <w:pPr>
        <w:pStyle w:val="FirstParagraph"/>
      </w:pPr>
      <w:r>
        <w:t xml:space="preserve">The high-stakes environment of</w:t>
      </w:r>
    </w:p>
    <w:p>
      <w:pPr>
        <w:pStyle w:val="BodyText"/>
      </w:pPr>
      <w:r>
        <w:t xml:space="preserve">Israel Tel AvivLawyer. Conflicts of interest can arise quickly in a relatively small professional community where many firms handle competing clients simultaneously. Maintaining confidentiality, avoiding dual representations, and ensuring transparent fee structures are paramount.</w:t>
      </w:r>
    </w:p>
    <w:p>
      <w:pPr>
        <w:pStyle w:val="BodyText"/>
      </w:pPr>
      <w:r>
        <w:t xml:space="preserve">Moreover,</w:t>
      </w:r>
      <w:r>
        <w:rPr>
          <w:bCs/>
          <w:b/>
        </w:rPr>
        <w:t xml:space="preserve">The LawyerIsrael Tel AvivLawyer</w:t>
      </w:r>
    </w:p>
    <w:bookmarkEnd w:id="25"/>
    <w:bookmarkStart w:id="26" w:name="vi.-access-to-justice-and-pro-bono-work"/>
    <w:p>
      <w:pPr>
        <w:pStyle w:val="Heading1"/>
      </w:pPr>
      <w:r>
        <w:t xml:space="preserve">VI. Access to Justice and Pro Bono Work</w:t>
      </w:r>
    </w:p>
    <w:p>
      <w:pPr>
        <w:pStyle w:val="FirstParagraph"/>
      </w:pPr>
      <w:r>
        <w:t xml:space="preserve">A critical aspect of the</w:t>
      </w:r>
    </w:p>
    <w:p>
      <w:pPr>
        <w:pStyle w:val="BodyText"/>
      </w:pPr>
      <w:r>
        <w:t xml:space="preserve">LawyerIsrael Tel Aviveconomic disparity exists between wealthy neighborhoods like Rothschild Boulevard and less affluent areas such as South Tel Aviv (Lawyercommunity plays a vital role in bridging this gap through pro bono services, legal clinics at universities like the Tel Aviv University Faculty of Law and collaborations with non-governmental organizations.</w:t>
      </w:r>
    </w:p>
    <w:p>
      <w:pPr>
        <w:pStyle w:val="BodyText"/>
      </w:pPr>
      <w:r>
        <w:t xml:space="preserve">Many firms in</w:t>
      </w:r>
    </w:p>
    <w:bookmarkEnd w:id="26"/>
    <w:bookmarkStart w:id="27" w:name="vii.-conclusion"/>
    <w:p>
      <w:pPr>
        <w:pStyle w:val="Heading1"/>
      </w:pPr>
      <w:r>
        <w:t xml:space="preserve">VII. Conclusion</w:t>
      </w:r>
    </w:p>
    <w:p>
      <w:pPr>
        <w:pStyle w:val="FirstParagraph"/>
      </w:pPr>
      <w:r>
        <w:t xml:space="preserve">In conclusion,</w:t>
      </w:r>
      <w:r>
        <w:rPr>
          <w:bCs/>
          <w:b/>
        </w:rPr>
        <w:t xml:space="preserve">The Lawyerin Lawyer</w:t>
      </w:r>
    </w:p>
    <w:p>
      <w:pPr>
        <w:pStyle w:val="BodyText"/>
      </w:pPr>
      <w:r>
        <w:t xml:space="preserve">As Tel Aviv continues to grow and evolve so too will the practice of law within its boundaries. The future demands lawyers who are not only legally proficient but also technologically literate culturally aware and ethically grounded. By fulfilling these responsibilities,</w:t>
      </w:r>
      <w:r>
        <w:rPr>
          <w:bCs/>
          <w:b/>
        </w:rPr>
        <w:t xml:space="preserve">The LawyerIsrael Tel Aviv</w:t>
      </w:r>
    </w:p>
    <w:bookmarkEnd w:id="27"/>
    <w:bookmarkStart w:id="28" w:name="viii.-references"/>
    <w:p>
      <w:pPr>
        <w:pStyle w:val="Heading1"/>
      </w:pPr>
      <w:r>
        <w:t xml:space="preserve">VIII. References</w:t>
      </w:r>
    </w:p>
    <w:p>
      <w:pPr>
        <w:numPr>
          <w:ilvl w:val="0"/>
          <w:numId w:val="1001"/>
        </w:numPr>
        <w:pStyle w:val="Compact"/>
      </w:pPr>
      <w:r>
        <w:t xml:space="preserve">Israeli Bar Association. (2023). Annual Report on Professional Conduct in District Courts.</w:t>
      </w:r>
    </w:p>
    <w:p>
      <w:pPr>
        <w:numPr>
          <w:ilvl w:val="0"/>
          <w:numId w:val="1001"/>
        </w:numPr>
        <w:pStyle w:val="Compact"/>
      </w:pPr>
      <w:r>
        <w:t xml:space="preserve">Tel Aviv University Faculty of Law. (2022). Impact of High-Tech Growth on Civil Litigation Trends.</w:t>
      </w:r>
    </w:p>
    <w:p>
      <w:pPr>
        <w:numPr>
          <w:ilvl w:val="0"/>
          <w:numId w:val="1001"/>
        </w:numPr>
        <w:pStyle w:val="Compact"/>
      </w:pPr>
      <w:r>
        <w:t xml:space="preserve">Ministry of Justice Israel. (2021). Regulations Regarding Real Estate Transactions and Tenant Rights in Metropolitan Areas.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the Lawyer in Israel Tel Aviv</dc:title>
  <dc:creator/>
  <dc:language>en</dc:language>
  <cp:keywords/>
  <dcterms:created xsi:type="dcterms:W3CDTF">2026-07-29T22:32:26Z</dcterms:created>
  <dcterms:modified xsi:type="dcterms:W3CDTF">2026-07-29T22:32:26Z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