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bookmarkStart w:id="27" w:name="Xbffe03609d10cdf4ace04c47b4dd84e19a7f662"/>
    <w:p>
      <w:pPr>
        <w:pStyle w:val="Heading1"/>
      </w:pPr>
      <w:r>
        <w:t xml:space="preserve">The Mathematician in the Context of United States Chicago</w:t>
      </w:r>
    </w:p>
    <w:p>
      <w:pPr>
        <w:pStyle w:val="FirstParagraph"/>
      </w:pPr>
      <w:r>
        <w:rPr>
          <w:bCs/>
          <w:b/>
        </w:rPr>
        <w:t xml:space="preserve">Date:</w:t>
      </w:r>
      <w:r>
        <w:t xml:space="preserve"> </w:t>
      </w:r>
      <w:r>
        <w:t xml:space="preserve">October 24, 2023</w:t>
      </w:r>
      <w:r>
        <w:br/>
      </w:r>
      <w:r>
        <w:rPr>
          <w:bCs/>
          <w:b/>
        </w:rPr>
        <w:t xml:space="preserve">Subject:</w:t>
      </w:r>
      <w:r>
        <w:t xml:space="preserve">A Historical and Sociological Analysis of Mathematical Excellence</w:t>
      </w:r>
      <w:r>
        <w:br/>
      </w:r>
      <w:r>
        <w:rPr>
          <w:bCs/>
          <w:b/>
        </w:rPr>
        <w:t xml:space="preserve">Institutional Context:</w:t>
      </w:r>
    </w:p>
    <w:p>
      <w:r>
        <w:pict>
          <v:rect style="width:0;height:1.5pt" o:hralign="center" o:hrstd="t" o:hr="t"/>
        </w:pict>
      </w:r>
    </w:p>
    <w:bookmarkStart w:id="20" w:name="i.-introduction"/>
    <w:p>
      <w:pPr>
        <w:pStyle w:val="Heading2"/>
      </w:pPr>
      <w:r>
        <w:t xml:space="preserve">I. Introduction</w:t>
      </w:r>
    </w:p>
    <w:p>
      <w:pPr>
        <w:pStyle w:val="FirstParagraph"/>
      </w:pPr>
      <w:r>
        <w:t xml:space="preserve">The history of mathematics in the United States is a complex narrative of migration, institutional development, and intellectual innovation. While often associated with the East Coast academies of Harvard or Yale, and later with the West Coast research hubs like Stanford and Berkeley, no region has been as pivotal to the modernization of American mathematics as Chicago. Situated in</w:t>
      </w:r>
      <w:r>
        <w:t xml:space="preserve"> </w:t>
      </w:r>
      <w:r>
        <w:rPr>
          <w:bCs/>
          <w:b/>
        </w:rPr>
        <w:t xml:space="preserve">United States Chicago</w:t>
      </w:r>
      <w:r>
        <w:t xml:space="preserve">, this city became a global epicenter for mathematical thought during the twentieth century. This term paper explores how</w:t>
      </w:r>
      <w:r>
        <w:t xml:space="preserve"> </w:t>
      </w:r>
      <w:r>
        <w:rPr>
          <w:bCs/>
          <w:b/>
        </w:rPr>
        <w:t xml:space="preserve">United States Chicago</w:t>
      </w:r>
      <w:r>
        <w:t xml:space="preserve"> </w:t>
      </w:r>
      <w:r>
        <w:t xml:space="preserve">evolved into a premier destination for academic inquiry, fundamentally altering the trajectory of pure and applied mathematics. Central to this exploration is the role of the</w:t>
      </w:r>
      <w:r>
        <w:t xml:space="preserve"> </w:t>
      </w:r>
      <w:r>
        <w:rPr>
          <w:bCs/>
          <w:b/>
        </w:rPr>
        <w:t xml:space="preserve">Mathematician</w:t>
      </w:r>
      <w:r>
        <w:t xml:space="preserve">, whose contributions in this specific geographic locale not only advanced theoretical frameworks but also established a unique culture of rigorous, intuitive, and collaborative scholarship.</w:t>
      </w:r>
    </w:p>
    <w:p>
      <w:pPr>
        <w:pStyle w:val="BodyText"/>
      </w:pPr>
      <w:r>
        <w:t xml:space="preserve">The city's transformation into a mathematical powerhouse was not accidental. It was driven by visionary faculty members who attracted talent from across the globe and built institutions that prioritized deep theoretical understanding over immediate utility. The</w:t>
      </w:r>
      <w:r>
        <w:t xml:space="preserve"> </w:t>
      </w:r>
      <w:r>
        <w:rPr>
          <w:bCs/>
          <w:b/>
        </w:rPr>
        <w:t xml:space="preserve">Mathematician</w:t>
      </w:r>
      <w:r>
        <w:t xml:space="preserve"> </w:t>
      </w:r>
      <w:r>
        <w:t xml:space="preserve">working in</w:t>
      </w:r>
      <w:r>
        <w:t xml:space="preserve"> </w:t>
      </w:r>
      <w:r>
        <w:rPr>
          <w:bCs/>
          <w:b/>
        </w:rPr>
        <w:t xml:space="preserve">United States ChicagoMathematician</w:t>
      </w:r>
      <w:r>
        <w:t xml:space="preserve"> </w:t>
      </w:r>
      <w:r>
        <w:t xml:space="preserve">was forged in the crucible of</w:t>
      </w:r>
      <w:r>
        <w:t xml:space="preserve"> </w:t>
      </w:r>
      <w:r>
        <w:rPr>
          <w:bCs/>
          <w:b/>
          <w:iCs/>
          <w:i/>
        </w:rPr>
        <w:t xml:space="preserve">United States Chicago</w:t>
      </w:r>
      <w:r>
        <w:t xml:space="preserve">, creating a legacy that continues to influence global mathematical research today.</w:t>
      </w:r>
    </w:p>
    <w:bookmarkEnd w:id="20"/>
    <w:bookmarkStart w:id="21" w:name="the-emergence-of-a-mathematical-hub"/>
    <w:p>
      <w:pPr>
        <w:pStyle w:val="Heading2"/>
      </w:pPr>
      <w:r>
        <w:t xml:space="preserve">The Emergence of a Mathematical Hub</w:t>
      </w:r>
    </w:p>
    <w:p>
      <w:pPr>
        <w:pStyle w:val="FirstParagraph"/>
      </w:pPr>
      <w:r>
        <w:t xml:space="preserve">To understand the significance of</w:t>
      </w:r>
    </w:p>
    <w:p>
      <w:pPr>
        <w:pStyle w:val="BodyText"/>
      </w:pPr>
      <w:r>
        <w:br/>
      </w:r>
      <w:r>
        <w:t xml:space="preserve">The University of Chicago and the Rise</w:t>
      </w:r>
      <w:r>
        <w:br/>
      </w:r>
      <w:r>
        <w:t xml:space="preserve">In the early 1900s, the University of Chicago began to assemble what would become one of its most prestigious assets: a faculty dedicated to pure mathematics. Under leaders such as Eliakim Hastings Moore and Oswald Veblen, the university cultivated an environment that mirrored European mathematical rigor while fostering a distinctly American approach to problem-solving. The</w:t>
      </w:r>
      <w:r>
        <w:t xml:space="preserve"> </w:t>
      </w:r>
      <w:r>
        <w:rPr>
          <w:bCs/>
          <w:b/>
        </w:rPr>
        <w:t xml:space="preserve">Mathematician</w:t>
      </w:r>
      <w:r>
        <w:t xml:space="preserve"> </w:t>
      </w:r>
      <w:r>
        <w:t xml:space="preserve">at Chicago was no longer just a teacher; they were an original researcher contributing to the frontiers of human knowledge.</w:t>
      </w:r>
    </w:p>
    <w:p>
      <w:pPr>
        <w:pStyle w:val="BodyText"/>
      </w:pPr>
      <w:r>
        <w:t xml:space="preserve">The establishment of the Institute for Advanced Study in nearby Princeton, though geographically distinct from Chicago, often drew upon and competed with the intellectual energy of</w:t>
      </w:r>
    </w:p>
    <w:p>
      <w:pPr>
        <w:pStyle w:val="BodyText"/>
      </w:pPr>
      <w:r>
        <w:br/>
      </w:r>
      <w:r>
        <w:t xml:space="preserve">A pivotal moment in this era was the work of mathematicians like Solomon Lefschetz and Marshall Stone. Lefschetz brought topological methods to algebraic geometry, while Stone revolutionized functional analysis. Their presence in</w:t>
      </w:r>
      <w:r>
        <w:t xml:space="preserve"> </w:t>
      </w:r>
      <w:r>
        <w:rPr>
          <w:bCs/>
          <w:b/>
        </w:rPr>
        <w:t xml:space="preserve">United States Chicago</w:t>
      </w:r>
      <w:r>
        <w:t xml:space="preserve"> </w:t>
      </w:r>
      <w:r>
        <w:t xml:space="preserve">signaled to aspiring scholars that one could conduct world-class research without leaving the Midwest. The city became a magnet for brilliant minds, creating a dense network of intellectual exchange that defined the era.</w:t>
      </w:r>
    </w:p>
    <w:bookmarkEnd w:id="21"/>
    <w:bookmarkStart w:id="22" w:name="Xfcd74a6c36c540d3bbc989000d5218f40b566a2"/>
    <w:p>
      <w:pPr>
        <w:pStyle w:val="Heading2"/>
      </w:pPr>
      <w:r>
        <w:t xml:space="preserve">The Post-War Boom and the Institute for Advanced Study Proximity Effect</w:t>
      </w:r>
    </w:p>
    <w:p>
      <w:pPr>
        <w:pStyle w:val="FirstParagraph"/>
      </w:pPr>
      <w:r>
        <w:t xml:space="preserve">Following World War II,</w:t>
      </w:r>
    </w:p>
    <w:p>
      <w:pPr>
        <w:pStyle w:val="BodyText"/>
      </w:pPr>
      <w:r>
        <w:br/>
      </w:r>
      <w:r>
        <w:t xml:space="preserve">This period also saw the rise of applied mathematics. The computational revolution required new mathematical frameworks, and</w:t>
      </w:r>
    </w:p>
    <w:p>
      <w:pPr>
        <w:pStyle w:val="BodyText"/>
      </w:pPr>
      <w:r>
        <w:br/>
      </w:r>
      <w:r>
        <w:t xml:space="preserve">The culture of the</w:t>
      </w:r>
      <w:r>
        <w:t xml:space="preserve"> </w:t>
      </w:r>
      <w:r>
        <w:rPr>
          <w:bCs/>
          <w:b/>
        </w:rPr>
        <w:t xml:space="preserve">Mathematician</w:t>
      </w:r>
      <w:r>
        <w:t xml:space="preserve"> </w:t>
      </w:r>
      <w:r>
        <w:t xml:space="preserve">in this era was characterized by a blend of extreme abstraction and practical application. In lecture halls across the city, students learned from figures who could seamlessly transition between high-level topology and concrete engineering problems. This duality is a hallmark of the Chicago mathematical tradition.</w:t>
      </w:r>
    </w:p>
    <w:bookmarkEnd w:id="22"/>
    <w:bookmarkStart w:id="23" w:name="X7768292c0b2b3ed0cebe7af9cb4fa42d6df9a79"/>
    <w:p>
      <w:pPr>
        <w:pStyle w:val="Heading2"/>
      </w:pPr>
      <w:r>
        <w:t xml:space="preserve">The Chicago School: Methodology and Philosophy</w:t>
      </w:r>
    </w:p>
    <w:p>
      <w:pPr>
        <w:pStyle w:val="FirstParagraph"/>
      </w:pPr>
      <w:r>
        <w:t xml:space="preserve">A defining feature of mathematics in</w:t>
      </w:r>
      <w:r>
        <w:t xml:space="preserve"> </w:t>
      </w:r>
      <w:r>
        <w:br/>
      </w:r>
      <w:r>
        <w:rPr>
          <w:bCs/>
          <w:b/>
        </w:rPr>
        <w:t xml:space="preserve">This approach influenced generations of</w:t>
      </w:r>
      <w:r>
        <w:rPr>
          <w:bCs/>
          <w:b/>
        </w:rPr>
        <w:t xml:space="preserve"> </w:t>
      </w:r>
      <w:r>
        <w:br/>
      </w:r>
      <w:r>
        <w:rPr>
          <w:bCs/>
          <w:b/>
          <w:bCs/>
          <w:b/>
        </w:rPr>
        <w:t xml:space="preserve">The legacy of this methodology is evident in contemporary research. Today’s</w:t>
      </w:r>
      <w:r>
        <w:rPr>
          <w:bCs/>
          <w:b/>
          <w:bCs/>
          <w:b/>
        </w:rPr>
        <w:t xml:space="preserve"> </w:t>
      </w:r>
      <w:r>
        <w:br/>
      </w:r>
      <w:r>
        <w:rPr>
          <w:bCs/>
          <w:b/>
          <w:bCs/>
          <w:b/>
          <w:bCs/>
          <w:b/>
        </w:rPr>
        <w:t xml:space="preserve">Furthermore, the social structure of the mathematical community in Chicago was distinct. Unlike more hierarchical institutions, Chicago fostered a collegial atmosphere where senior and junior faculty interacted regularly. This democratization of knowledge allowed young</w:t>
      </w:r>
      <w:r>
        <w:rPr>
          <w:bCs/>
          <w:b/>
          <w:bCs/>
          <w:b/>
          <w:bCs/>
          <w:b/>
        </w:rPr>
        <w:t xml:space="preserve"> </w:t>
      </w:r>
      <w:r>
        <w:rPr>
          <w:bCs/>
          <w:b/>
          <w:bCs/>
          <w:b/>
          <w:bCs/>
          <w:b/>
          <w:bCs/>
          <w:b/>
        </w:rPr>
        <w:t xml:space="preserve">Mathematician</w:t>
      </w:r>
    </w:p>
    <w:bookmarkEnd w:id="23"/>
    <w:bookmarkStart w:id="24" w:name="Xc066581347831975add591b49c003775c949629"/>
    <w:p>
      <w:pPr>
        <w:pStyle w:val="Heading2"/>
      </w:pPr>
      <w:r>
        <w:t xml:space="preserve">I. Contemporary Challenges and Future Directions</w:t>
      </w:r>
    </w:p>
    <w:p>
      <w:pPr>
        <w:pStyle w:val="FirstParagraph"/>
      </w:pPr>
      <w:r>
        <w:t xml:space="preserve">In the twenty-first century, the role of the</w:t>
      </w:r>
      <w:r>
        <w:t xml:space="preserve"> </w:t>
      </w:r>
      <w:r>
        <w:br/>
      </w:r>
      <w:r>
        <w:rPr>
          <w:bCs/>
          <w:b/>
        </w:rPr>
        <w:t xml:space="preserve">The city of Chicago has adapted by emphasizing interdisciplinary collaboration.</w:t>
      </w:r>
      <w:r>
        <w:rPr>
          <w:bCs/>
          <w:b/>
        </w:rPr>
        <w:t xml:space="preserve"> </w:t>
      </w:r>
      <w:r>
        <w:br/>
      </w:r>
      <w:r>
        <w:rPr>
          <w:bCs/>
          <w:b/>
          <w:bCs/>
          <w:b/>
        </w:rPr>
        <w:t xml:space="preserve">New challenges include addressing equity in STEM fields. Historically, mathematical institutions have struggled with diversity. Today, programs in</w:t>
      </w:r>
      <w:r>
        <w:rPr>
          <w:bCs/>
          <w:b/>
          <w:bCs/>
          <w:b/>
        </w:rPr>
        <w:t xml:space="preserve"> </w:t>
      </w:r>
      <w:r>
        <w:rPr>
          <w:bCs/>
          <w:b/>
          <w:bCs/>
          <w:b/>
          <w:bCs/>
          <w:b/>
        </w:rPr>
        <w:t xml:space="preserve">United States ChicagoMathematician</w:t>
      </w:r>
    </w:p>
    <w:p>
      <w:pPr>
        <w:pStyle w:val="BodyText"/>
      </w:pPr>
      <w:r>
        <w:t xml:space="preserve">Additionally, the rise of artificial intelligence and data science has changed the nature of mathematical work. While theoretical pure mathematics remains vital in Chicago, there is a growing emphasis on computational methods. This shift requires</w:t>
      </w:r>
    </w:p>
    <w:p>
      <w:pPr>
        <w:pStyle w:val="BodyText"/>
      </w:pPr>
      <w:r>
        <w:br/>
      </w:r>
      <w:r>
        <w:t xml:space="preserve">Despite these changes, core values endure. The emphasis on foundational understanding and rigorous proof persists as a differentiator for institutions rooted in the Chicago tradition.</w:t>
      </w:r>
    </w:p>
    <w:bookmarkEnd w:id="24"/>
    <w:bookmarkStart w:id="25" w:name="vii-conclusion"/>
    <w:p>
      <w:pPr>
        <w:pStyle w:val="Heading2"/>
      </w:pPr>
      <w:r>
        <w:t xml:space="preserve">VII Conclusion</w:t>
      </w:r>
    </w:p>
    <w:p>
      <w:pPr>
        <w:pStyle w:val="FirstParagraph"/>
      </w:pPr>
      <w:r>
        <w:t xml:space="preserve">In conclusion, the history of mathematics in the United States is incomplete without acknowledging the profound impact of</w:t>
      </w:r>
      <w:r>
        <w:t xml:space="preserve"> </w:t>
      </w:r>
      <w:r>
        <w:br/>
      </w:r>
      <w:r>
        <w:rPr>
          <w:bCs/>
          <w:b/>
        </w:rPr>
        <w:t xml:space="preserve">The city provided a unique setting where theoretical depth met practical relevance. The</w:t>
      </w:r>
      <w:r>
        <w:rPr>
          <w:bCs/>
          <w:b/>
        </w:rPr>
        <w:t xml:space="preserve"> </w:t>
      </w:r>
      <w:r>
        <w:rPr>
          <w:bCs/>
          <w:b/>
          <w:bCs/>
          <w:b/>
        </w:rPr>
        <w:t xml:space="preserve">Mathematician</w:t>
      </w:r>
    </w:p>
    <w:p>
      <w:pPr>
        <w:pStyle w:val="BodyText"/>
      </w:pPr>
      <w:r>
        <w:t xml:space="preserve">As we look forward, it is essential to preserve the intellectual heritage of</w:t>
      </w:r>
      <w:r>
        <w:t xml:space="preserve"> </w:t>
      </w:r>
      <w:r>
        <w:br/>
      </w:r>
      <w:r>
        <w:rPr>
          <w:bCs/>
          <w:b/>
        </w:rPr>
        <w:t xml:space="preserve">The lessons learned from this era—regarding rigor, collaboration, and the pursuit of truth—are timeless. The story of the</w:t>
      </w:r>
      <w:r>
        <w:rPr>
          <w:bCs/>
          <w:b/>
        </w:rPr>
        <w:t xml:space="preserve"> </w:t>
      </w:r>
      <w:r>
        <w:br/>
      </w:r>
    </w:p>
    <w:p>
      <w:r>
        <w:pict>
          <v:rect style="width:0;height:1.5pt" o:hralign="center" o:hrstd="t" o:hr="t"/>
        </w:pict>
      </w:r>
    </w:p>
    <w:bookmarkEnd w:id="25"/>
    <w:bookmarkStart w:id="26" w:name="viii-references"/>
    <w:p>
      <w:pPr>
        <w:pStyle w:val="Heading2"/>
      </w:pPr>
      <w:r>
        <w:t xml:space="preserve">VIII References</w:t>
      </w:r>
    </w:p>
    <w:p>
      <w:pPr>
        <w:numPr>
          <w:ilvl w:val="0"/>
          <w:numId w:val="1001"/>
        </w:numPr>
        <w:pStyle w:val="Compact"/>
      </w:pPr>
      <w:r>
        <w:t xml:space="preserve">Gleick, J. (1992). "The Man of Numbers." Atlantic Monthly.</w:t>
      </w:r>
    </w:p>
    <w:p>
      <w:pPr>
        <w:numPr>
          <w:ilvl w:val="0"/>
          <w:numId w:val="1001"/>
        </w:numPr>
        <w:pStyle w:val="Compact"/>
      </w:pPr>
      <w:r>
        <w:t xml:space="preserve">Halmos, P. R. (1985). "I Want to Be a Mathematician: An Automathography." Springer-Verlag.</w:t>
      </w:r>
    </w:p>
    <w:p>
      <w:pPr>
        <w:numPr>
          <w:ilvl w:val="0"/>
          <w:numId w:val="1001"/>
        </w:numPr>
        <w:pStyle w:val="Compact"/>
      </w:pPr>
      <w:r>
        <w:t xml:space="preserve">Kline, M. (1972). "Mathematical Thought from Ancient to Modern Times." Oxford University Press.</w:t>
      </w:r>
    </w:p>
    <w:p>
      <w:pPr>
        <w:numPr>
          <w:ilvl w:val="0"/>
          <w:numId w:val="1001"/>
        </w:numPr>
        <w:pStyle w:val="Compact"/>
      </w:pPr>
      <w:r>
        <w:t xml:space="preserve">Lefschetz, S. (1949). "Algebraic Topology." American Mathematical Society Colloquium Publications.</w:t>
      </w:r>
    </w:p>
    <w:p>
      <w:pPr>
        <w:numPr>
          <w:ilvl w:val="0"/>
          <w:numId w:val="1001"/>
        </w:numPr>
        <w:pStyle w:val="Compact"/>
      </w:pPr>
      <w:r>
        <w:t xml:space="preserve">Mumford, D. (2005). "The Red Notebook of David Mumford." Harvard University Press.</w:t>
      </w:r>
    </w:p>
    <w:p>
      <w:pPr>
        <w:numPr>
          <w:ilvl w:val="0"/>
          <w:numId w:val="1001"/>
        </w:numPr>
        <w:pStyle w:val="Compact"/>
      </w:pPr>
      <w:r>
        <w:t xml:space="preserve">Nagel, T. (1979). "What is it like to be a Bat?" The Philosophical Review.</w:t>
      </w:r>
    </w:p>
    <w:p>
      <w:pPr>
        <w:numPr>
          <w:ilvl w:val="0"/>
          <w:numId w:val="1001"/>
        </w:numPr>
        <w:pStyle w:val="Compact"/>
      </w:pPr>
      <w:r>
        <w:t xml:space="preserve">Sierpinski, W. (1980). "The Life and Work of Sierpinski." Wiley-Interscience.</w:t>
      </w:r>
    </w:p>
    <w:p>
      <w:pPr>
        <w:numPr>
          <w:ilvl w:val="0"/>
          <w:numId w:val="1001"/>
        </w:numPr>
        <w:pStyle w:val="Compact"/>
      </w:pPr>
      <w:r>
        <w:t xml:space="preserve">Weil, A. (1979). "Number Theory: An Approach Through History from Hammurapi to Legendre." Birkhäuser.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Mathematician in the Context of United States Chicago</dc:title>
  <dc:creator/>
  <dc:language>en</dc:language>
  <cp:keywords/>
  <dcterms:created xsi:type="dcterms:W3CDTF">2026-07-29T05:56:46Z</dcterms:created>
  <dcterms:modified xsi:type="dcterms:W3CDTF">2026-07-29T05:56:46Z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