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Academic Research Division</w:t>
      </w:r>
    </w:p>
    <w:p>
      <w:pPr>
        <w:pStyle w:val="BodyText"/>
      </w:pPr>
      <w:r>
        <w:t xml:space="preserve">Medical Science and Regional Health Infrastructure</w:t>
      </w:r>
    </w:p>
    <w:bookmarkStart w:id="27" w:name="X4872ef06bc72e1442a95f711e4dd83eae800c50"/>
    <w:p>
      <w:pPr>
        <w:pStyle w:val="Heading1"/>
      </w:pPr>
      <w:r>
        <w:t xml:space="preserve">The Role of the Medical Researcher in the Scientific Ecosystem of Germany Frankfurt</w:t>
      </w:r>
    </w:p>
    <w:p>
      <w:pPr>
        <w:pStyle w:val="FirstParagraph"/>
      </w:pPr>
      <w:r>
        <w:rPr>
          <w:bCs/>
          <w:b/>
        </w:rPr>
        <w:t xml:space="preserve">Abstract</w:t>
      </w:r>
      <w:r>
        <w:br/>
      </w:r>
      <w:r>
        <w:t xml:space="preserve">This term paper examines the critical function of the medical researcher within the vibrant and historically significant scientific landscape of Germany Frankfurt. By analyzing local institutional structures, funding mechanisms, and collaborative networks, this document elucidates how researchers contribute to advancements in biotechnology, clinical trials, and public health. The focus remains on the unique advantages offered by Frankfurt’s infrastructure as a global transport hub and its dense concentration of pharmaceutical companies.</w:t>
      </w:r>
    </w:p>
    <w:bookmarkStart w:id="20" w:name="introduction"/>
    <w:p>
      <w:pPr>
        <w:pStyle w:val="Heading2"/>
      </w:pPr>
      <w:r>
        <w:t xml:space="preserve">1. Introduction</w:t>
      </w:r>
    </w:p>
    <w:p>
      <w:pPr>
        <w:pStyle w:val="FirstParagraph"/>
      </w:pPr>
      <w:r>
        <w:t xml:space="preserve">The landscape of modern medicine is inextricably linked to rigorous scientific inquiry, driven primarily by the dedicated efforts of medical researchers. In Germany Frankfurt, this drive finds a particularly fertile ground due to the city’s strategic location, economic strength, and historic commitment to education and innovation. As a global metropolis often referred to as "Mainhattan" due its skyline of skyscrapers housing financial institutions, Frankfurt is equally renowned for its robust life sciences sector. This term paper explores how the medical researcher operates within this specific geographic and institutional context in Germany Frankfurt, highlighting the synergy between academic institutions like Goethe University and private industry giants located in nearby industrial parks.</w:t>
      </w:r>
    </w:p>
    <w:bookmarkEnd w:id="20"/>
    <w:bookmarkStart w:id="21" w:name="the-institutional-framework-of-research"/>
    <w:p>
      <w:pPr>
        <w:pStyle w:val="Heading2"/>
      </w:pPr>
      <w:r>
        <w:t xml:space="preserve">2. The Institutional Framework of Research</w:t>
      </w:r>
    </w:p>
    <w:p>
      <w:pPr>
        <w:pStyle w:val="FirstParagraph"/>
      </w:pPr>
      <w:r>
        <w:t xml:space="preserve">To understand the role of a medical researcher one must first understand the infrastructure that supports them. In Germany Frankfurt, this support is provided by a triad of key entities: Goethe University Frankfurt, the University Hospital (Universitätsklinikum), and various specialized research institutes such as those within the Senckenberg Nature Research Society.</w:t>
      </w:r>
    </w:p>
    <w:p>
      <w:pPr>
        <w:pStyle w:val="BodyText"/>
      </w:pPr>
      <w:r>
        <w:t xml:space="preserve">The medical researcher in this environment acts as a bridge between basic science and clinical application. The proximity to Germany Frankfurt’s extensive network of hospitals allows for immediate translation of laboratory findings into patient care protocols. Unlike purely theoretical researchers, those operating in Germany Frankfurt are often embedded within the "Translational Medicine" framework, ensuring that discoveries regarding genetic markers, immunotherapies, or new drug compounds can be rapidly tested in clinical settings.</w:t>
      </w:r>
    </w:p>
    <w:bookmarkEnd w:id="21"/>
    <w:bookmarkStart w:id="22" w:name="X0858c538a340abe91a39c01f915da26412b0d59"/>
    <w:p>
      <w:pPr>
        <w:pStyle w:val="Heading2"/>
      </w:pPr>
      <w:r>
        <w:t xml:space="preserve">3. Collaboration with the Pharmaceutical Industry</w:t>
      </w:r>
    </w:p>
    <w:p>
      <w:pPr>
        <w:pStyle w:val="FirstParagraph"/>
      </w:pPr>
      <w:r>
        <w:t xml:space="preserve">A defining characteristic of the research ecosystem in Germany Frankfurt is its close integration with major pharmaceutical and chemical corporations. Companies such as Merck KGaA have historical roots in Darmstadt, which is immediately adjacent to Germany Frankfurt, creating a metropolitan research cluster that attracts talent from across Europe.</w:t>
      </w:r>
    </w:p>
    <w:p>
      <w:pPr>
        <w:pStyle w:val="BodyText"/>
      </w:pPr>
      <w:r>
        <w:t xml:space="preserve">The medical researcher here does not work in isolation. Instead they engage in public-private partnerships. These collaborations are essential for securing the substantial funding required for expensive equipment and long-term studies. The term paper argues that the flexibility of the German regulatory framework, when combined with Frankfurt’s logistical advantages, makes it an ideal location for multi-center clinical trials. Researchers benefit from access to diverse patient populations due to Frankfurt’s status as an international hub, enhancing the generalizability of their findings.</w:t>
      </w:r>
    </w:p>
    <w:bookmarkEnd w:id="22"/>
    <w:bookmarkStart w:id="23" w:name="challenges-and-ethical-considerations"/>
    <w:p>
      <w:pPr>
        <w:pStyle w:val="Heading2"/>
      </w:pPr>
      <w:r>
        <w:t xml:space="preserve">4. Challenges and Ethical Considerations</w:t>
      </w:r>
    </w:p>
    <w:p>
      <w:pPr>
        <w:pStyle w:val="FirstParagraph"/>
      </w:pPr>
      <w:r>
        <w:t xml:space="preserve">Navigating the role of a medical researcher in Germany Frankfurt also involves adhering to strict ethical guidelines and bureaucratic procedures. Germany has some of the most rigorous data protection laws in Europe, particularly regarding patient privacy (GDPR compliance). For a medical researcher, this means that managing large datasets requires sophisticated IT infrastructure and unwavering ethical discipline.</w:t>
      </w:r>
    </w:p>
    <w:p>
      <w:pPr>
        <w:pStyle w:val="BodyText"/>
      </w:pPr>
      <w:r>
        <w:t xml:space="preserve">Furthermore, the competitive nature of funding in Germany Frankfurt means that researchers must constantly justify their work’s societal impact. There is an increasing pressure to demonstrate how research contributes to public health outcomes specifically within the Hesse region and beyond. This necessitates strong communication skills and the ability to engage with policymakers, ensuring that scientific advancements are not just published in journals but implemented into healthcare policies.</w:t>
      </w:r>
    </w:p>
    <w:bookmarkEnd w:id="23"/>
    <w:bookmarkStart w:id="24" w:name="X983a5aefa346b79754c93190d7c5b4e71914410"/>
    <w:p>
      <w:pPr>
        <w:pStyle w:val="Heading2"/>
      </w:pPr>
      <w:r>
        <w:t xml:space="preserve">5. The Future of Medical Research in the Region</w:t>
      </w:r>
    </w:p>
    <w:p>
      <w:pPr>
        <w:pStyle w:val="FirstParagraph"/>
      </w:pPr>
      <w:r>
        <w:t xml:space="preserve">Looking forward, the role of the medical researcher in Germany Frankfurt is poised to evolve with technological advancements. Artificial Intelligence (AI) and machine learning are beginning to play a larger role in drug discovery and diagnostic imaging. Researchers who can integrate these digital tools into their methodologies will be at the forefront of innovation.</w:t>
      </w:r>
    </w:p>
    <w:p>
      <w:pPr>
        <w:pStyle w:val="BodyText"/>
      </w:pPr>
      <w:r>
        <w:t xml:space="preserve">Additionally, there is a growing emphasis on interdisciplinary collaboration. Medical researchers in Germany Frankfurt are increasingly working alongside data scientists, engineers, and ethicists. This holistic approach addresses complex health challenges that cannot be solved through biology alone, such as epidemiological modeling during pandemics or the environmental impact of pharmaceutical production.</w:t>
      </w:r>
    </w:p>
    <w:bookmarkEnd w:id="24"/>
    <w:bookmarkStart w:id="25" w:name="conclusion"/>
    <w:p>
      <w:pPr>
        <w:pStyle w:val="Heading2"/>
      </w:pPr>
      <w:r>
        <w:t xml:space="preserve">6. Conclusion</w:t>
      </w:r>
    </w:p>
    <w:p>
      <w:pPr>
        <w:pStyle w:val="FirstParagraph"/>
      </w:pPr>
      <w:r>
        <w:t xml:space="preserve">In conclusion, the medical researcher in Germany Frankfurt occupies a pivotal position within the global scientific community. Leveraging world-class academic institutions, proximity to industry leaders, and a supportive regulatory environment these researchers drive progress in human health. Their work is not merely about discovery but about implementation and integration into the broader healthcare system. As Frankfurt continues to develop its status as a leading European hub for life sciences, the contributions of medical researchers will remain central to achieving breakthroughs in treatment and prevention.</w:t>
      </w:r>
    </w:p>
    <w:bookmarkEnd w:id="25"/>
    <w:bookmarkStart w:id="26" w:name="references"/>
    <w:p>
      <w:pPr>
        <w:pStyle w:val="Heading2"/>
      </w:pPr>
      <w:r>
        <w:t xml:space="preserve">7. References</w:t>
      </w:r>
    </w:p>
    <w:p>
      <w:pPr>
        <w:pStyle w:val="FirstParagraph"/>
      </w:pPr>
      <w:r>
        <w:rPr>
          <w:iCs/>
          <w:i/>
        </w:rPr>
        <w:t xml:space="preserve">Note: The following references are illustrative of the types of sources utilized in this term paper.</w:t>
      </w:r>
    </w:p>
    <w:p>
      <w:pPr>
        <w:numPr>
          <w:ilvl w:val="0"/>
          <w:numId w:val="1001"/>
        </w:numPr>
        <w:pStyle w:val="Compact"/>
      </w:pPr>
      <w:r>
        <w:t xml:space="preserve">Bundesministerium für Bildung und Forschung. (2023). *Life Sciences in Germany*. Berlin.</w:t>
      </w:r>
    </w:p>
    <w:p>
      <w:pPr>
        <w:numPr>
          <w:ilvl w:val="0"/>
          <w:numId w:val="1001"/>
        </w:numPr>
        <w:pStyle w:val="Compact"/>
      </w:pPr>
      <w:r>
        <w:t xml:space="preserve">Goethe University Frankfurt. (2023). *Strategic Plan for Medical Research and Innovation*. Frankfurt am Main.</w:t>
      </w:r>
    </w:p>
    <w:p>
      <w:pPr>
        <w:numPr>
          <w:ilvl w:val="0"/>
          <w:numId w:val="1001"/>
        </w:numPr>
        <w:pStyle w:val="Compact"/>
      </w:pPr>
      <w:r>
        <w:t xml:space="preserve">Hesse State Ministry of Higher Education, Research and the Arts. (2022). *Innovation Clusters in Hesse: Focus on Life Sciences*. Wiesbaden.</w:t>
      </w:r>
    </w:p>
    <w:p>
      <w:pPr>
        <w:numPr>
          <w:ilvl w:val="0"/>
          <w:numId w:val="1001"/>
        </w:numPr>
        <w:pStyle w:val="Compact"/>
      </w:pPr>
      <w:r>
        <w:t xml:space="preserve">Schmidt, J., &amp; Mueller, A. (2021). "Translational Medicine Models in Central Europe." *Journal of European Health Policy*, 14(3), 45-60.</w:t>
      </w:r>
    </w:p>
    <w:p>
      <w:pPr>
        <w:numPr>
          <w:ilvl w:val="0"/>
          <w:numId w:val="1001"/>
        </w:numPr>
        <w:pStyle w:val="Compact"/>
      </w:pPr>
      <w:r>
        <w:t xml:space="preserve">European Commission. (2023). *Report on Research and Innovation Performance in the Frankfurt Rhine-Main Region*. Brussels.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the Scientific Ecosystem of Germany Frankfurt</dc:title>
  <dc:creator/>
  <dc:language>en</dc:language>
  <cp:keywords/>
  <dcterms:created xsi:type="dcterms:W3CDTF">2026-07-29T19:35:06Z</dcterms:created>
  <dcterms:modified xsi:type="dcterms:W3CDTF">2026-07-29T19:35:06Z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