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1" w:name="term-paper"/>
    <w:p>
      <w:pPr>
        <w:pStyle w:val="Heading1"/>
      </w:pPr>
      <w:r>
        <w:t xml:space="preserve">Term Paper</w:t>
      </w:r>
    </w:p>
    <w:p>
      <w:pPr>
        <w:pStyle w:val="FirstParagraph"/>
      </w:pPr>
      <w:r>
        <w:br/>
      </w:r>
      <w:r>
        <w:br/>
      </w:r>
    </w:p>
    <w:bookmarkStart w:id="20" w:name="X48d7d89d1e0b4747b24c36ee99b18d4b212726f"/>
    <w:p>
      <w:pPr>
        <w:pStyle w:val="Heading2"/>
      </w:pPr>
      <w:r>
        <w:t xml:space="preserve">The Strategic Imperative of the Medical Researcher in Qatar Doha:</w:t>
      </w:r>
      <w:r>
        <w:br/>
      </w:r>
      <w:r>
        <w:t xml:space="preserve">Navigating the Healthcare Renaissance and Scientific Innovation</w:t>
      </w:r>
    </w:p>
    <w:p>
      <w:pPr>
        <w:pStyle w:val="FirstParagraph"/>
      </w:pPr>
      <w:r>
        <w:br/>
      </w:r>
      <w:r>
        <w:br/>
      </w:r>
    </w:p>
    <w:p>
      <w:pPr>
        <w:pStyle w:val="BodyText"/>
      </w:pPr>
      <w:r>
        <w:t xml:space="preserve">Student Name: [Insert Name]</w:t>
      </w:r>
    </w:p>
    <w:p>
      <w:pPr>
        <w:pStyle w:val="BodyText"/>
      </w:pPr>
      <w:r>
        <w:t xml:space="preserve">Date: October 24, 2023</w:t>
      </w:r>
    </w:p>
    <w:bookmarkEnd w:id="20"/>
    <w:bookmarkEnd w:id="21"/>
    <w:p>
      <w:r>
        <w:pict>
          <v:rect style="width:0;height:1.5pt" o:hralign="center" o:hrstd="t" o:hr="t"/>
        </w:pict>
      </w:r>
    </w:p>
    <w:bookmarkStart w:id="22" w:name="i.-introduction"/>
    <w:p>
      <w:pPr>
        <w:pStyle w:val="Heading1"/>
      </w:pPr>
      <w:r>
        <w:t xml:space="preserve">I. Introduction</w:t>
      </w:r>
    </w:p>
    <w:p>
      <w:pPr>
        <w:pStyle w:val="FirstParagraph"/>
      </w:pPr>
      <w:r>
        <w:br/>
      </w:r>
      <w:r>
        <w:br/>
      </w:r>
      <w:r>
        <w:t xml:space="preserve">Prompted by the dynamic vision of the Qatar National Vision (QNV) 2030, the State of Qatar has established itself as a burgeoning hub for education, science, and healthcare in the Middle East. Central to this transformation is</w:t>
      </w:r>
      <w:r>
        <w:t xml:space="preserve"> </w:t>
      </w:r>
      <w:r>
        <w:rPr>
          <w:bCs/>
          <w:b/>
        </w:rPr>
        <w:t xml:space="preserve">Qatar Doha</w:t>
      </w:r>
      <w:r>
        <w:t xml:space="preserve">, which serves not merely as a geographical capital but as an intellectual epicenter where global best practices meet regional specificities. Within this thriving ecosystem, the</w:t>
      </w:r>
      <w:r>
        <w:t xml:space="preserve"> </w:t>
      </w:r>
      <w:r>
        <w:rPr>
          <w:bCs/>
          <w:b/>
        </w:rPr>
        <w:t xml:space="preserve">Medical Researcher</w:t>
      </w:r>
      <w:r>
        <w:t xml:space="preserve"> </w:t>
      </w:r>
      <w:r>
        <w:t xml:space="preserve">plays a pivotal role in bridging the gap between theoretical science and practical clinical application. This paper argues that the medical researcher in Qatar Doha is essential for advancing personalized medicine, addressing region-specific genetic disorders, and fostering international collaboration through world-class institutions such as Hamad Medical Corporation (HMC) and Weill Cornell Medicine-Qatar (WCM-Q). By examining the current landscape of healthcare infrastructure, unique demographic challenges, and future directions, this term paper highlights how the</w:t>
      </w:r>
      <w:r>
        <w:t xml:space="preserve"> </w:t>
      </w:r>
      <w:r>
        <w:rPr>
          <w:bCs/>
          <w:b/>
        </w:rPr>
        <w:t xml:space="preserve">Medical Researcher</w:t>
      </w:r>
      <w:r>
        <w:t xml:space="preserve"> </w:t>
      </w:r>
      <w:r>
        <w:t xml:space="preserve">in</w:t>
      </w:r>
      <w:r>
        <w:t xml:space="preserve"> </w:t>
      </w:r>
      <w:r>
        <w:rPr>
          <w:bCs/>
          <w:b/>
        </w:rPr>
        <w:t xml:space="preserve">Qatar Doha</w:t>
      </w:r>
      <w:r>
        <w:t xml:space="preserve"> </w:t>
      </w:r>
      <w:r>
        <w:t xml:space="preserve">is shaping a sustainable future for public health.</w:t>
      </w:r>
      <w:r>
        <w:br/>
      </w:r>
      <w:r>
        <w:br/>
      </w:r>
    </w:p>
    <w:bookmarkEnd w:id="22"/>
    <w:bookmarkStart w:id="23" w:name="X5060c1a710652590e2507f73c120c8d6be4db31"/>
    <w:p>
      <w:pPr>
        <w:pStyle w:val="Heading1"/>
      </w:pPr>
      <w:r>
        <w:t xml:space="preserve">II. The Strategic Context: Healthcare Infrastructure in Qatar Doha</w:t>
      </w:r>
    </w:p>
    <w:p>
      <w:pPr>
        <w:pStyle w:val="FirstParagraph"/>
      </w:pPr>
      <w:r>
        <w:br/>
      </w:r>
      <w:r>
        <w:br/>
      </w:r>
      <w:r>
        <w:t xml:space="preserve">To understand the significance of the medical researcher, one must first appreciate the infrastructure that supports their work in</w:t>
      </w:r>
      <w:r>
        <w:t xml:space="preserve"> </w:t>
      </w:r>
      <w:r>
        <w:rPr>
          <w:bCs/>
          <w:b/>
        </w:rPr>
        <w:t xml:space="preserve">Qatar Doha</w:t>
      </w:r>
      <w:r>
        <w:t xml:space="preserve">. The state has invested heavily in establishing a robust healthcare system anchored by Hamad Medical Corporation (HMC), which operates several specialized hospitals and research centers. Additionally, institutions like Sidra Medicine and the Qatar Biobank provide cutting-edge environments where researchers can access vast repositories of health data.</w:t>
      </w:r>
      <w:r>
        <w:br/>
      </w:r>
      <w:r>
        <w:br/>
      </w:r>
      <w:r>
        <w:t xml:space="preserve">In</w:t>
      </w:r>
      <w:r>
        <w:t xml:space="preserve"> </w:t>
      </w:r>
      <w:r>
        <w:rPr>
          <w:bCs/>
          <w:b/>
        </w:rPr>
        <w:t xml:space="preserve">Qatar Doha</w:t>
      </w:r>
      <w:r>
        <w:t xml:space="preserve">, the role of the medical researcher extends beyond basic laboratory work. These professionals are embedded within clinical settings, ensuring that research findings are rapidly translated into patient care protocols. The integration of artificial intelligence and big data analytics into healthcare systems across</w:t>
      </w:r>
      <w:r>
        <w:t xml:space="preserve"> </w:t>
      </w:r>
      <w:r>
        <w:rPr>
          <w:bCs/>
          <w:b/>
        </w:rPr>
        <w:t xml:space="preserve">Qatar Doha</w:t>
      </w:r>
      <w:r>
        <w:t xml:space="preserve"> </w:t>
      </w:r>
      <w:r>
        <w:t xml:space="preserve">allows researchers to analyze complex biological patterns with unprecedented speed and accuracy. This synergy between technology and biology is a hallmark of the modern medical researcher in this region.</w:t>
      </w:r>
      <w:r>
        <w:br/>
      </w:r>
      <w:r>
        <w:br/>
      </w:r>
    </w:p>
    <w:bookmarkEnd w:id="23"/>
    <w:bookmarkStart w:id="24" w:name="X4083d620c38b042579dbcfcd6014049a151e6b2"/>
    <w:p>
      <w:pPr>
        <w:pStyle w:val="Heading1"/>
      </w:pPr>
      <w:r>
        <w:t xml:space="preserve">III. Addressing Unique Regional Challenges: The Genetic Landscape</w:t>
      </w:r>
    </w:p>
    <w:p>
      <w:pPr>
        <w:pStyle w:val="FirstParagraph"/>
      </w:pPr>
      <w:r>
        <w:br/>
      </w:r>
      <w:r>
        <w:br/>
      </w:r>
      <w:r>
        <w:t xml:space="preserve">A critical area of focus for any</w:t>
      </w:r>
      <w:r>
        <w:t xml:space="preserve"> </w:t>
      </w:r>
      <w:r>
        <w:rPr>
          <w:bCs/>
          <w:b/>
        </w:rPr>
        <w:t xml:space="preserve">Medical Researcher</w:t>
      </w:r>
      <w:r>
        <w:t xml:space="preserve"> </w:t>
      </w:r>
      <w:r>
        <w:t xml:space="preserve">in</w:t>
      </w:r>
      <w:r>
        <w:t xml:space="preserve"> </w:t>
      </w:r>
      <w:r>
        <w:rPr>
          <w:bCs/>
          <w:b/>
        </w:rPr>
        <w:t xml:space="preserve">Qatar Doha</w:t>
      </w:r>
      <w:r>
        <w:t xml:space="preserve"> </w:t>
      </w:r>
      <w:r>
        <w:t xml:space="preserve">is the study of genetic epidemiology. Qatar has one of the highest rates of consanguinity in the world, which significantly increases the prevalence of recessive genetic disorders. Researchers are tasked with identifying these mutations and understanding their mechanisms to develop targeted therapies.</w:t>
      </w:r>
      <w:r>
        <w:br/>
      </w:r>
      <w:r>
        <w:br/>
      </w:r>
      <w:r>
        <w:t xml:space="preserve">The Qatar Biobank serves as a cornerstone for this work, collecting data from hundreds of thousands of participants. Medical researchers utilize this data to uncover correlations between lifestyle factors, environmental conditions specific to the Arabian Gulf region, and disease outcomes. For instance, research into diabetes mellitus—a condition with high prevalence in the local population—has been revolutionized by genetic studies conducted in</w:t>
      </w:r>
      <w:r>
        <w:t xml:space="preserve"> </w:t>
      </w:r>
      <w:r>
        <w:rPr>
          <w:bCs/>
          <w:b/>
        </w:rPr>
        <w:t xml:space="preserve">Qatar Doha</w:t>
      </w:r>
      <w:r>
        <w:t xml:space="preserve">. These findings not only improve local treatment plans but also contribute valuable insights to global medical literature.</w:t>
      </w:r>
      <w:r>
        <w:br/>
      </w:r>
      <w:r>
        <w:br/>
      </w:r>
    </w:p>
    <w:bookmarkEnd w:id="24"/>
    <w:bookmarkStart w:id="25" w:name="iv.-education-and-global-collaboration"/>
    <w:p>
      <w:pPr>
        <w:pStyle w:val="Heading1"/>
      </w:pPr>
      <w:r>
        <w:t xml:space="preserve">IV. Education and Global Collaboration</w:t>
      </w:r>
    </w:p>
    <w:p>
      <w:pPr>
        <w:pStyle w:val="FirstParagraph"/>
      </w:pPr>
      <w:r>
        <w:br/>
      </w:r>
      <w:r>
        <w:br/>
      </w:r>
      <w:r>
        <w:t xml:space="preserve">The academic landscape in</w:t>
      </w:r>
      <w:r>
        <w:t xml:space="preserve"> </w:t>
      </w:r>
      <w:r>
        <w:rPr>
          <w:bCs/>
          <w:b/>
        </w:rPr>
        <w:t xml:space="preserve">Qatar Doha</w:t>
      </w:r>
      <w:r>
        <w:t xml:space="preserve"> </w:t>
      </w:r>
      <w:r>
        <w:t xml:space="preserve">is unique due to its "Education City" model, which hosts branch campuses of prestigious international universities. Institutions like Weill Cornell Medicine-Qatar and Texas A&amp;M University at Qatar foster an environment where medical researchers can collaborate with peers from around the globe while addressing local needs.</w:t>
      </w:r>
      <w:r>
        <w:br/>
      </w:r>
      <w:r>
        <w:br/>
      </w:r>
      <w:r>
        <w:t xml:space="preserve">In this context, the</w:t>
      </w:r>
      <w:r>
        <w:t xml:space="preserve"> </w:t>
      </w:r>
      <w:r>
        <w:rPr>
          <w:bCs/>
          <w:b/>
        </w:rPr>
        <w:t xml:space="preserve">Medical Researcher</w:t>
      </w:r>
      <w:r>
        <w:t xml:space="preserve"> </w:t>
      </w:r>
      <w:r>
        <w:t xml:space="preserve">acts as a cultural and scientific ambassador. They participate in joint ventures with international organizations, bringing global expertise to</w:t>
      </w:r>
      <w:r>
        <w:t xml:space="preserve"> </w:t>
      </w:r>
      <w:r>
        <w:rPr>
          <w:bCs/>
          <w:b/>
        </w:rPr>
        <w:t xml:space="preserve">Qatar Doha</w:t>
      </w:r>
      <w:r>
        <w:t xml:space="preserve"> </w:t>
      </w:r>
      <w:r>
        <w:t xml:space="preserve">while exporting locally derived solutions to the world. For example, recent collaborations have focused on infectious disease control and vaccine development, areas that became critically important during the post-pandemic recovery period. The ability of researchers in</w:t>
      </w:r>
      <w:r>
        <w:t xml:space="preserve"> </w:t>
      </w:r>
      <w:r>
        <w:rPr>
          <w:bCs/>
          <w:b/>
        </w:rPr>
        <w:t xml:space="preserve">Qatar Doha</w:t>
      </w:r>
      <w:r>
        <w:t xml:space="preserve"> </w:t>
      </w:r>
      <w:r>
        <w:t xml:space="preserve">to navigate diverse scientific cultures enhances their capacity for innovation.</w:t>
      </w:r>
      <w:r>
        <w:br/>
      </w:r>
      <w:r>
        <w:br/>
      </w:r>
    </w:p>
    <w:bookmarkEnd w:id="25"/>
    <w:bookmarkStart w:id="26" w:name="X0b5a42d7a0f543dbbd31acbadde1538eadc515d"/>
    <w:p>
      <w:pPr>
        <w:pStyle w:val="Heading1"/>
      </w:pPr>
      <w:r>
        <w:t xml:space="preserve">V. Ethical Considerations and Future Directions</w:t>
      </w:r>
    </w:p>
    <w:p>
      <w:pPr>
        <w:pStyle w:val="FirstParagraph"/>
      </w:pPr>
      <w:r>
        <w:br/>
      </w:r>
      <w:r>
        <w:br/>
      </w:r>
      <w:r>
        <w:t xml:space="preserve">As medical research advances, ethical considerations become paramount, especially regarding genomic data privacy and consent. In</w:t>
      </w:r>
      <w:r>
        <w:t xml:space="preserve"> </w:t>
      </w:r>
      <w:r>
        <w:rPr>
          <w:bCs/>
          <w:b/>
        </w:rPr>
        <w:t xml:space="preserve">Qatar Doha</w:t>
      </w:r>
      <w:r>
        <w:t xml:space="preserve">, researchers must adhere to strict regulatory frameworks established by the Ministry of Public Health and local ethics committees. Ensuring that the collection and use of biological samples respect cultural sensitivities is a key responsibility for the modern medical researcher.</w:t>
      </w:r>
      <w:r>
        <w:br/>
      </w:r>
      <w:r>
        <w:br/>
      </w:r>
      <w:r>
        <w:t xml:space="preserve">Looking ahead, the future of medical research in</w:t>
      </w:r>
      <w:r>
        <w:t xml:space="preserve"> </w:t>
      </w:r>
      <w:r>
        <w:rPr>
          <w:bCs/>
          <w:b/>
        </w:rPr>
        <w:t xml:space="preserve">Qatar Doha</w:t>
      </w:r>
      <w:r>
        <w:t xml:space="preserve"> </w:t>
      </w:r>
      <w:r>
        <w:t xml:space="preserve">lies in precision medicine. By leveraging genetic data, researchers aim to tailor treatments to individual patients based on their unique biological makeup. This approach promises to reduce trial-and-error prescribing and improve overall health outcomes. Furthermore, there is growing emphasis on preventative research, aiming to shift the healthcare paradigm from reactive treatment to proactive wellness maintenance.</w:t>
      </w:r>
      <w:r>
        <w:br/>
      </w:r>
      <w:r>
        <w:br/>
      </w:r>
    </w:p>
    <w:bookmarkEnd w:id="26"/>
    <w:bookmarkStart w:id="27" w:name="vi.-conclusion"/>
    <w:p>
      <w:pPr>
        <w:pStyle w:val="Heading1"/>
      </w:pPr>
      <w:r>
        <w:t xml:space="preserve">VI. Conclusion</w:t>
      </w:r>
    </w:p>
    <w:p>
      <w:pPr>
        <w:pStyle w:val="FirstParagraph"/>
      </w:pPr>
      <w:r>
        <w:br/>
      </w:r>
      <w:r>
        <w:br/>
      </w:r>
      <w:r>
        <w:t xml:space="preserve">In conclusion, the</w:t>
      </w:r>
      <w:r>
        <w:t xml:space="preserve"> </w:t>
      </w:r>
      <w:r>
        <w:rPr>
          <w:bCs/>
          <w:b/>
        </w:rPr>
        <w:t xml:space="preserve">Medical Researcher</w:t>
      </w:r>
      <w:r>
        <w:t xml:space="preserve"> </w:t>
      </w:r>
      <w:r>
        <w:t xml:space="preserve">in</w:t>
      </w:r>
      <w:r>
        <w:t xml:space="preserve"> </w:t>
      </w:r>
      <w:r>
        <w:rPr>
          <w:bCs/>
          <w:b/>
        </w:rPr>
        <w:t xml:space="preserve">Qatar Doha</w:t>
      </w:r>
      <w:r>
        <w:t xml:space="preserve"> </w:t>
      </w:r>
      <w:r>
        <w:t xml:space="preserve">occupies a vital position within the nation’s strategic development goals. Through advanced infrastructure, focus on genetic health, and international collaboration, these professionals are driving significant advancements in medical science. As Qatar continues to evolve under its National Vision 2030, the role of the medical researcher will only expand in scope and importance. Ultimately, their work ensures that</w:t>
      </w:r>
      <w:r>
        <w:t xml:space="preserve"> </w:t>
      </w:r>
      <w:r>
        <w:rPr>
          <w:bCs/>
          <w:b/>
        </w:rPr>
        <w:t xml:space="preserve">Qatar Doha</w:t>
      </w:r>
      <w:r>
        <w:t xml:space="preserve"> </w:t>
      </w:r>
      <w:r>
        <w:t xml:space="preserve">remains at the forefront of healthcare innovation, providing tangible benefits not just to its residents but to the global community as well.</w:t>
      </w:r>
      <w:r>
        <w:br/>
      </w:r>
      <w:r>
        <w:br/>
      </w:r>
    </w:p>
    <w:bookmarkEnd w:id="27"/>
    <w:bookmarkStart w:id="28" w:name="vii.-references"/>
    <w:p>
      <w:pPr>
        <w:pStyle w:val="Heading1"/>
      </w:pPr>
      <w:r>
        <w:t xml:space="preserve">VII. References</w:t>
      </w:r>
    </w:p>
    <w:p>
      <w:pPr>
        <w:pStyle w:val="FirstParagraph"/>
      </w:pPr>
      <w:r>
        <w:br/>
      </w:r>
    </w:p>
    <w:p>
      <w:pPr>
        <w:numPr>
          <w:ilvl w:val="0"/>
          <w:numId w:val="1001"/>
        </w:numPr>
        <w:pStyle w:val="Compact"/>
      </w:pPr>
      <w:r>
        <w:t xml:space="preserve">National Research Fund Qatar. (2022). *Annual Report on Biomedical Innovation*. Doha: NRF Publications.</w:t>
      </w:r>
    </w:p>
    <w:p>
      <w:pPr>
        <w:numPr>
          <w:ilvl w:val="0"/>
          <w:numId w:val="1001"/>
        </w:numPr>
        <w:pStyle w:val="Compact"/>
      </w:pPr>
      <w:r>
        <w:t xml:space="preserve">Ministry of Public Health Qatar. (2023). *Strategic Plan for Genetic Screening and Counseling*. Doha: MOPH.</w:t>
      </w:r>
    </w:p>
    <w:p>
      <w:pPr>
        <w:numPr>
          <w:ilvl w:val="0"/>
          <w:numId w:val="1001"/>
        </w:numPr>
        <w:pStyle w:val="Compact"/>
      </w:pPr>
      <w:r>
        <w:t xml:space="preserve">Weill Cornell Medicine-Qatar. (2021). *Journal of Research in Healthcare Delivery*. Doha: WCM-Q Press.</w:t>
      </w:r>
    </w:p>
    <w:p>
      <w:pPr>
        <w:numPr>
          <w:ilvl w:val="0"/>
          <w:numId w:val="1001"/>
        </w:numPr>
        <w:pStyle w:val="Compact"/>
      </w:pPr>
      <w:r>
        <w:t xml:space="preserve">Sidra Medicine. (2023). *Annual Scientific Review: Advancing Women and Children's Health*. Doha: Sidra Medical Center.</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Medical Researchers in Qatar Doha</dc:title>
  <dc:creator/>
  <dc:language>en</dc:language>
  <cp:keywords/>
  <dcterms:created xsi:type="dcterms:W3CDTF">2026-07-29T22:31:25Z</dcterms:created>
  <dcterms:modified xsi:type="dcterms:W3CDTF">2026-07-29T22:31:25Z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