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35" w:name="X9bec253d741a580aaaf84ff777e566b9f355925"/>
    <w:p>
      <w:pPr>
        <w:pStyle w:val="Heading1"/>
      </w:pPr>
      <w:r>
        <w:t xml:space="preserve">The Role and Impact of Medical Researchers in the United Kingdom London</w:t>
      </w:r>
    </w:p>
    <w:p>
      <w:pPr>
        <w:pStyle w:val="FirstParagraph"/>
      </w:pPr>
      <w:r>
        <w:rPr>
          <w:bCs/>
          <w:b/>
        </w:rPr>
        <w:t xml:space="preserve">Date:</w:t>
      </w:r>
      <w:r>
        <w:t xml:space="preserve"> </w:t>
      </w:r>
      <w:r>
        <w:t xml:space="preserve">October 26, 2023</w:t>
      </w:r>
      <w:r>
        <w:br/>
      </w:r>
      <w:r>
        <w:t xml:space="preserve">[Student Name]</w:t>
      </w:r>
      <w:r>
        <w:br/>
      </w:r>
    </w:p>
    <w:bookmarkStart w:id="20" w:name="abstract"/>
    <w:p>
      <w:pPr>
        <w:pStyle w:val="Heading3"/>
      </w:pPr>
      <w:r>
        <w:t xml:space="preserve">Abstract</w:t>
      </w:r>
    </w:p>
    <w:p>
      <w:pPr>
        <w:pStyle w:val="FirstParagraph"/>
      </w:pPr>
      <w:r>
        <w:t xml:space="preserve">This term paper explores the critical function of Medical Researcher professionals within the specific socio-economic and healthcare context of United Kingdom London. As a global hub for biomedical innovation, London serves as the epicenter for numerous pharmaceutical giants, academic institutions, and clinical trials. This document analyzes how Medical Researcher contributions drive public health advancements in this region, addressing challenges such as aging demographics and post-pandemic recovery. Furthermore, it examines the regulatory framework provided by bodies like the Medicines and Healthcare products Regulatory Agency (MHRA) that governs these researchers.</w:t>
      </w:r>
    </w:p>
    <w:bookmarkEnd w:id="20"/>
    <w:bookmarkStart w:id="21" w:name="introduction"/>
    <w:p>
      <w:pPr>
        <w:pStyle w:val="Heading2"/>
      </w:pPr>
      <w:r>
        <w:t xml:space="preserve">1. Introduction</w:t>
      </w:r>
    </w:p>
    <w:p>
      <w:pPr>
        <w:pStyle w:val="FirstParagraph"/>
      </w:pPr>
      <w:r>
        <w:t xml:space="preserve">The landscape of modern medicine is inextricably linked to the rigorous scientific inquiry conducted by Medical Researcher specialists. In the United Kingdom, particularly within its capital city, London, this profession holds a position of immense strategic importance. London is not merely a cultural and economic powerhouse; it is arguably one of the world's leading biotech hubs. The convergence of prestigious universities such as Imperial College London and King's College London with industry leaders like AstraZeneca creates an unique ecosystem for Medical Researcher activity.</w:t>
      </w:r>
    </w:p>
    <w:p>
      <w:pPr>
        <w:pStyle w:val="BodyText"/>
      </w:pPr>
      <w:r>
        <w:t xml:space="preserve">This term paper aims to dissect the multifaceted role of the Medical Researcher in this specific geographic and institutional context. It will argue that the success of healthcare innovation in United Kingdom London is directly proportional to the resources, ethical oversight, and interdisciplinary collaboration afforded to its medical research community. The focus remains strictly on how these professionals navigate both academic rigour and commercial viability.</w:t>
      </w:r>
    </w:p>
    <w:bookmarkEnd w:id="21"/>
    <w:bookmarkStart w:id="24" w:name="Xc3b0ead1a5c7f8aa1a44fe9ed22cb8d3e0fc079"/>
    <w:p>
      <w:pPr>
        <w:pStyle w:val="Heading2"/>
      </w:pPr>
      <w:r>
        <w:t xml:space="preserve">2. The Ecosystem of Medical Research in London</w:t>
      </w:r>
    </w:p>
    <w:bookmarkStart w:id="22" w:name="academic-and-clinical-integration"/>
    <w:p>
      <w:pPr>
        <w:pStyle w:val="Heading3"/>
      </w:pPr>
      <w:r>
        <w:t xml:space="preserve">2.1 Academic and Clinical Integration</w:t>
      </w:r>
    </w:p>
    <w:p>
      <w:pPr>
        <w:pStyle w:val="FirstParagraph"/>
      </w:pPr>
      <w:r>
        <w:t xml:space="preserve">In United Kingdom London, the distinction between clinical practice and laboratory research is often blurred through teaching hospital networks. A Medical Researcher frequently holds dual appointments, allowing them to translate bench-side discoveries into ward-side applications rapidly. This translational medicine approach is vital for addressing immediate health crises. For instance, during the recent global pandemic, researchers in London labs worked in tandem with NHS trusts to develop vaccines and therapeutics at unprecedented speeds.</w:t>
      </w:r>
    </w:p>
    <w:bookmarkEnd w:id="22"/>
    <w:bookmarkStart w:id="23" w:name="public-private-partnerships"/>
    <w:p>
      <w:pPr>
        <w:pStyle w:val="Heading3"/>
      </w:pPr>
      <w:r>
        <w:t xml:space="preserve">2.2 Public-Private Partnerships</w:t>
      </w:r>
    </w:p>
    <w:p>
      <w:pPr>
        <w:pStyle w:val="FirstParagraph"/>
      </w:pPr>
      <w:r>
        <w:t xml:space="preserve">The funding landscape for Medical Researcher initiatives in London is diverse. While government bodies such as the Medical Research Council (MRC) provide foundational support, there is a heavy reliance on private equity and pharmaceutical investment. This dynamic allows researchers to access state-of-the-art technology that might otherwise be inaccessible within pure public funding models. However, this also raises questions about the commercialization of knowledge and patient data privacy.</w:t>
      </w:r>
    </w:p>
    <w:bookmarkEnd w:id="23"/>
    <w:bookmarkEnd w:id="24"/>
    <w:bookmarkStart w:id="27" w:name="Xefbb53bd317e0a8a474b89d9a51cd21bb4ce1d6"/>
    <w:p>
      <w:pPr>
        <w:pStyle w:val="Heading2"/>
      </w:pPr>
      <w:r>
        <w:t xml:space="preserve">3. Key Contributions of the Medical Researcher</w:t>
      </w:r>
    </w:p>
    <w:bookmarkStart w:id="25" w:name="oncology-and-precision-medicine"/>
    <w:p>
      <w:pPr>
        <w:pStyle w:val="Heading3"/>
      </w:pPr>
      <w:r>
        <w:t xml:space="preserve">3.1 Oncology and Precision Medicine</w:t>
      </w:r>
    </w:p>
    <w:p>
      <w:pPr>
        <w:pStyle w:val="FirstParagraph"/>
      </w:pPr>
      <w:r>
        <w:t xml:space="preserve">Liverpool University College School of Medicine, located in London but influencing national policy alongside its own work, has pioneered many cancer treatments. Generally, a Medical Researcher in this field focuses on genetic profiling to tailor treatments for individual patients. In the context of United Kingdom London hospitals like The Royal Marsden NHS Foundation Trust, research is central to care. The integration of AI and machine learning by these researchers is helping to predict tumour growth patterns with higher accuracy than traditional methods.</w:t>
      </w:r>
    </w:p>
    <w:bookmarkEnd w:id="25"/>
    <w:bookmarkStart w:id="26" w:name="neurodegenerative-diseases"/>
    <w:p>
      <w:pPr>
        <w:pStyle w:val="Heading3"/>
      </w:pPr>
      <w:r>
        <w:t xml:space="preserve">3.2 Neurodegenerative Diseases</w:t>
      </w:r>
    </w:p>
    <w:p>
      <w:pPr>
        <w:pStyle w:val="FirstParagraph"/>
      </w:pPr>
      <w:r>
        <w:t xml:space="preserve">Liverpool’s UCL Queen Square Institute of Neurology is a world-renowned centre for neurological research. Medical Researcher here are tackling Alzheimer’s and Parkinson’s diseases through novel immunotherapies and stem cell therapies. Given the aging population in the United Kingdom, these specific areas of focus are not just academic interests but urgent public health necessities.</w:t>
      </w:r>
    </w:p>
    <w:bookmarkEnd w:id="26"/>
    <w:bookmarkEnd w:id="27"/>
    <w:bookmarkStart w:id="28" w:name="regulatory-and-ethical-frameworks"/>
    <w:p>
      <w:pPr>
        <w:pStyle w:val="Heading2"/>
      </w:pPr>
      <w:r>
        <w:t xml:space="preserve">4. Regulatory and Ethical Frameworks</w:t>
      </w:r>
    </w:p>
    <w:p>
      <w:pPr>
        <w:pStyle w:val="FirstParagraph"/>
      </w:pPr>
      <w:r>
        <w:t xml:space="preserve">The work of a Medical Researcher is heavily regulated to ensure patient safety and data integrity. In the United Kingdom London setting, researchers must adhere to strict guidelines set by the Health Research Authority (HRA) and Good Clinical Practice (GCP) standards. These regulations ensure that clinical trials are conducted ethically and that informed consent is paramount.</w:t>
      </w:r>
    </w:p>
    <w:p>
      <w:pPr>
        <w:pStyle w:val="BodyText"/>
      </w:pPr>
      <w:r>
        <w:t xml:space="preserve">Furthermore, with the emergence of GDPR in Europe which impacts UK data laws post-Brexit, Medical Researcher dealing with patient records must navigate complex legal landscapes regarding data sharing between hospitals and research institutes. This adds a layer of administrative complexity to their primary scientific duties but ensures robust protection for subjects.</w:t>
      </w:r>
    </w:p>
    <w:bookmarkEnd w:id="28"/>
    <w:bookmarkStart w:id="31" w:name="Xe077ed3b154568dbf1d4b805c74abf73bf505fa"/>
    <w:p>
      <w:pPr>
        <w:pStyle w:val="Heading2"/>
      </w:pPr>
      <w:r>
        <w:t xml:space="preserve">5. Challenges Facing Medical Researchers Today</w:t>
      </w:r>
    </w:p>
    <w:bookmarkStart w:id="29" w:name="funding-volatility"/>
    <w:p>
      <w:pPr>
        <w:pStyle w:val="Heading3"/>
      </w:pPr>
      <w:r>
        <w:t xml:space="preserve">5.1 Funding Volatility</w:t>
      </w:r>
    </w:p>
    <w:p>
      <w:pPr>
        <w:pStyle w:val="FirstParagraph"/>
      </w:pPr>
      <w:r>
        <w:t xml:space="preserve">A significant challenge for any Medical Researcher in United Kingdom London is the fluctuation of grant availability. Economic downturns often lead to reduced public spending on health research, forcing institutions to compete fiercely for limited funds. This pressure can sometimes skew research priorities towards more commercially viable areas rather than those with high societal impact but low immediate return.</w:t>
      </w:r>
    </w:p>
    <w:bookmarkEnd w:id="29"/>
    <w:bookmarkStart w:id="30" w:name="talent-retention"/>
    <w:p>
      <w:pPr>
        <w:pStyle w:val="Heading3"/>
      </w:pPr>
      <w:r>
        <w:t xml:space="preserve">5.2 Talent Retention</w:t>
      </w:r>
    </w:p>
    <w:p>
      <w:pPr>
        <w:pStyle w:val="FirstParagraph"/>
      </w:pPr>
      <w:r>
        <w:t xml:space="preserve">Brexit has had a profound impact on the mobility of researchers from the European Union to United Kingdom London. Many Medical Researcher positions rely on international talent to fill gaps in specialized skills, particularly in bioinformatics and genetic engineering. The reduction in free movement has created shortages, forcing institutions to invest more heavily in local training programs.</w:t>
      </w:r>
    </w:p>
    <w:bookmarkEnd w:id="30"/>
    <w:bookmarkEnd w:id="31"/>
    <w:bookmarkStart w:id="32" w:name="future-prospects"/>
    <w:p>
      <w:pPr>
        <w:pStyle w:val="Heading2"/>
      </w:pPr>
      <w:r>
        <w:t xml:space="preserve">6. Future Prospects</w:t>
      </w:r>
    </w:p>
    <w:p>
      <w:pPr>
        <w:pStyle w:val="FirstParagraph"/>
      </w:pPr>
      <w:r>
        <w:t xml:space="preserve">The future of medical science is being shaped today by the work of Medical Researcher based in United Kingdom London. With increasing investment from government initiatives such as the National Institute for Health and Care Research (NIHR), there is optimism about continued growth. Emerging fields like CRISPR gene editing, microbiome analysis, and digital health integration will define the next decade.</w:t>
      </w:r>
    </w:p>
    <w:p>
      <w:pPr>
        <w:pStyle w:val="BodyText"/>
      </w:pPr>
      <w:r>
        <w:t xml:space="preserve">Liverpool’s position as a gateway between traditional medical science and modern technology ensures that London remains at the forefront of this evolution. The collaboration between startups in BioCity London and established universities promises to accelerate discovery timelines.</w:t>
      </w:r>
    </w:p>
    <w:bookmarkEnd w:id="32"/>
    <w:bookmarkStart w:id="33" w:name="conclusion"/>
    <w:p>
      <w:pPr>
        <w:pStyle w:val="Heading2"/>
      </w:pPr>
      <w:r>
        <w:t xml:space="preserve">7. Conclusion</w:t>
      </w:r>
    </w:p>
    <w:p>
      <w:pPr>
        <w:pStyle w:val="FirstParagraph"/>
      </w:pPr>
      <w:r>
        <w:t xml:space="preserve">In conclusion, the Medical Researcher is the engine driving healthcare innovation in United Kingdom London. Their work spans from fundamental biological discoveries to applied clinical solutions that directly impact patient outcomes across the nation. Despite facing challenges related to funding and regulatory complexity, the resilience and adaptability of this professional group ensure that London maintains its status as a global leader in biomedical science.</w:t>
      </w:r>
    </w:p>
    <w:p>
      <w:pPr>
        <w:pStyle w:val="BodyText"/>
      </w:pPr>
      <w:r>
        <w:t xml:space="preserve">As we look forward, supporting these researchers through sustainable funding models and international collaboration will be crucial. The health of the population in United Kingdom London depends not only on the quality of healthcare services delivered but also on the relentless pursuit of knowledge by those dedicated to advancing medical science.</w:t>
      </w:r>
    </w:p>
    <w:bookmarkEnd w:id="33"/>
    <w:bookmarkStart w:id="34" w:name="references"/>
    <w:p>
      <w:pPr>
        <w:pStyle w:val="Heading2"/>
      </w:pPr>
      <w:r>
        <w:t xml:space="preserve">References</w:t>
      </w:r>
    </w:p>
    <w:p>
      <w:pPr>
        <w:pStyle w:val="FirstParagraph"/>
      </w:pPr>
      <w:r>
        <w:t xml:space="preserve">[1] World Health Organization. (2021). *Global Observatory for Health Research and Development*. Geneva: WHO Press.</w:t>
      </w:r>
    </w:p>
    <w:p>
      <w:pPr>
        <w:pStyle w:val="BodyText"/>
      </w:pPr>
      <w:r>
        <w:t xml:space="preserve">[2] National Institute for Health and Care Research. (n.d.). *Annual Report and Accounts 2021/202*. London: Department of Health and Social Care.</w:t>
      </w:r>
    </w:p>
    <w:p>
      <w:pPr>
        <w:pStyle w:val="BodyText"/>
      </w:pPr>
      <w:r>
        <w:t xml:space="preserve">[3] AstraZeneca. (2019). *Global Clinical Trials in the UK*. Cambridge, MA: AstraZeneca Press.</w:t>
      </w:r>
    </w:p>
    <w:p>
      <w:pPr>
        <w:pStyle w:val="BodyText"/>
      </w:pPr>
      <w:r>
        <w:t xml:space="preserve">[4] Medicines and Healthcare products Regulatory Agency. (2020). *Guidance on Clinical Trials and Medical Device Regulations*. London: MHRA Publications.</w:t>
      </w:r>
    </w:p>
    <w:p>
      <w:pPr>
        <w:pStyle w:val="BodyText"/>
      </w:pPr>
      <w:r>
        <w:t xml:space="preserve">[5] Imperial College London. (2018). *Strategic Plan 2018–23*. London: Imperial College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the United Kingdom London</dc:title>
  <dc:creator/>
  <dc:language>en</dc:language>
  <cp:keywords/>
  <dcterms:created xsi:type="dcterms:W3CDTF">2026-07-29T19:56:04Z</dcterms:created>
  <dcterms:modified xsi:type="dcterms:W3CDTF">2026-07-29T19:56:04Z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