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term-paper"/>
    <w:p>
      <w:pPr>
        <w:pStyle w:val="Heading1"/>
      </w:pPr>
      <w:r>
        <w:t xml:space="preserve">Term Paper</w:t>
      </w:r>
    </w:p>
    <w:bookmarkStart w:id="29" w:name="X5b54196d255346eceb55e016f245502f36687c4"/>
    <w:p>
      <w:pPr>
        <w:pStyle w:val="Heading2"/>
      </w:pPr>
      <w:r>
        <w:t xml:space="preserve">A Comprehensive Analysis of the Role, Regulation, and Future of the Midwife in New Zealand Wellington</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Health Studies</w:t>
      </w:r>
      <w:r>
        <w:br/>
      </w:r>
      <w:r>
        <w:rPr>
          <w:bCs/>
          <w:b/>
        </w:rPr>
        <w:t xml:space="preserve">From:</w:t>
      </w:r>
      <w:r>
        <w:t xml:space="preserve"> </w:t>
      </w:r>
      <w:r>
        <w:t xml:space="preserve">Student Researcher</w:t>
      </w:r>
      <w:r>
        <w:br/>
      </w:r>
      <w:r>
        <w:rPr>
          <w:bCs/>
          <w:b/>
        </w:rPr>
        <w:t xml:space="preserve">Subject:</w:t>
      </w:r>
      <w:r>
        <w:t xml:space="preserve">The Professional Practice and Cultural Integration of the Midwife within the Wellington Healthcare Ecosystem</w:t>
      </w:r>
    </w:p>
    <w:bookmarkStart w:id="20" w:name="i.-introduction"/>
    <w:p>
      <w:pPr>
        <w:pStyle w:val="Heading3"/>
      </w:pPr>
      <w:r>
        <w:t xml:space="preserve">I. Introduction</w:t>
      </w:r>
    </w:p>
    <w:p>
      <w:pPr>
        <w:pStyle w:val="FirstParagraph"/>
      </w:pPr>
      <w:r>
        <w:t xml:space="preserve">The landscape of maternal health care in New Zealand is unique, characterized by a dual system that integrates both midwifery-led care and obstetric-led care. Within this framework, the</w:t>
      </w:r>
      <w:r>
        <w:t xml:space="preserve"> </w:t>
      </w:r>
      <w:r>
        <w:rPr>
          <w:bCs/>
          <w:b/>
        </w:rPr>
        <w:t xml:space="preserve">New Zealand Wellington</w:t>
      </w:r>
      <w:r>
        <w:t xml:space="preserve"> </w:t>
      </w:r>
      <w:r>
        <w:t xml:space="preserve">region serves as a critical hub for medical innovation, policy development, and diverse cultural integration. This term paper aims to explore the multifaceted role of the</w:t>
      </w:r>
      <w:r>
        <w:t xml:space="preserve"> </w:t>
      </w:r>
      <w:r>
        <w:rPr>
          <w:bCs/>
          <w:b/>
        </w:rPr>
        <w:t xml:space="preserve">Midwife</w:t>
      </w:r>
      <w:r>
        <w:t xml:space="preserve">, examining their statutory responsibilities under New Zealand law, their pivotal contribution to public health outcomes in Wellington specifically, and the evolving challenges they face in delivering culturally responsive care.</w:t>
      </w:r>
    </w:p>
    <w:p>
      <w:pPr>
        <w:pStyle w:val="BodyText"/>
      </w:pPr>
      <w:r>
        <w:t xml:space="preserve">In Wellington, a city known for its progressive social policies and high concentration of tertiary healthcare facilities such as the Capital and Coast District Health Board (now part of Te Whatu Ora – Hutt Valley/Capital &amp; Coast), the presence of a robust midwifery workforce is essential. The discussion herein will highlight how the</w:t>
      </w:r>
      <w:r>
        <w:t xml:space="preserve"> </w:t>
      </w:r>
      <w:r>
        <w:rPr>
          <w:bCs/>
          <w:b/>
        </w:rPr>
        <w:t xml:space="preserve">Midwife</w:t>
      </w:r>
      <w:r>
        <w:t xml:space="preserve"> </w:t>
      </w:r>
      <w:r>
        <w:t xml:space="preserve">acts not merely as a clinical provider but as a cornerstone of community health, particularly in addressing the disparities experienced by Māori and Pacific populations.</w:t>
      </w:r>
    </w:p>
    <w:bookmarkEnd w:id="20"/>
    <w:bookmarkStart w:id="21" w:name="X5cf031878edc39868266385d2a6d59aead544b6"/>
    <w:p>
      <w:pPr>
        <w:pStyle w:val="Heading3"/>
      </w:pPr>
      <w:r>
        <w:t xml:space="preserve">II. Historical Context and Legislative Framework</w:t>
      </w:r>
    </w:p>
    <w:p>
      <w:pPr>
        <w:pStyle w:val="FirstParagraph"/>
      </w:pPr>
      <w:r>
        <w:t xml:space="preserve">To understand the current status of midwifery in</w:t>
      </w:r>
      <w:r>
        <w:t xml:space="preserve"> </w:t>
      </w:r>
      <w:r>
        <w:rPr>
          <w:bCs/>
          <w:b/>
        </w:rPr>
        <w:t xml:space="preserve">New Zealand Wellington</w:t>
      </w:r>
      <w:r>
        <w:t xml:space="preserve">, one must first appreciate its historical trajectory. Midwifery in New Zealand has been distinct from other countries due to early government recognition of the profession as a primary model of care for low-risk pregnancies. This recognition culminated in the establishment of the Midwives Registration Board and, subsequently, the Nursing Council of New Zealand (NCNZ), which currently regulates both nurses and midwives.</w:t>
      </w:r>
    </w:p>
    <w:p>
      <w:pPr>
        <w:pStyle w:val="BodyText"/>
      </w:pPr>
      <w:r>
        <w:t xml:space="preserve">The</w:t>
      </w:r>
      <w:r>
        <w:t xml:space="preserve"> </w:t>
      </w:r>
      <w:r>
        <w:rPr>
          <w:bCs/>
          <w:b/>
        </w:rPr>
        <w:t xml:space="preserve">Midwife</w:t>
      </w:r>
      <w:r>
        <w:t xml:space="preserve"> </w:t>
      </w:r>
      <w:r>
        <w:t xml:space="preserve">operates under strict guidelines set by the NCNZ, including The Code of Conduct for Midwives. This code emphasizes respect for life, ethical practice, and accountability. In the context of Wellington, where regulatory oversight is stringent due to the density of health services midwives must adhere to high standards of clinical governance. Furthermore, the Health Practitioners Competence Assurance Act 2003 provides a legislative shield that ensures only competent practitioners can practice as a</w:t>
      </w:r>
      <w:r>
        <w:t xml:space="preserve"> </w:t>
      </w:r>
      <w:r>
        <w:rPr>
          <w:bCs/>
          <w:b/>
        </w:rPr>
        <w:t xml:space="preserve">Midwife</w:t>
      </w:r>
      <w:r>
        <w:t xml:space="preserve">, thereby protecting the public while maintaining professional integrity.</w:t>
      </w:r>
    </w:p>
    <w:bookmarkEnd w:id="21"/>
    <w:bookmarkStart w:id="24" w:name="Xeadbc6efde2a08ae6f6023739f42501d7a00e3c"/>
    <w:p>
      <w:pPr>
        <w:pStyle w:val="Heading3"/>
      </w:pPr>
      <w:r>
        <w:t xml:space="preserve">III. The Midwife in Wellington: Demographic and Cultural Significance</w:t>
      </w:r>
    </w:p>
    <w:p>
      <w:pPr>
        <w:pStyle w:val="FirstParagraph"/>
      </w:pPr>
      <w:r>
        <w:t xml:space="preserve">The city of Wellington presents unique demographic challenges and opportunities for midwifery practice. With a population that is increasingly diverse, the role of the</w:t>
      </w:r>
      <w:r>
        <w:t xml:space="preserve"> </w:t>
      </w:r>
      <w:r>
        <w:rPr>
          <w:bCs/>
          <w:b/>
        </w:rPr>
        <w:t xml:space="preserve">Midwife</w:t>
      </w:r>
      <w:r>
        <w:t xml:space="preserve"> </w:t>
      </w:r>
      <w:r>
        <w:t xml:space="preserve">extends beyond clinical tasks to include cultural competency and advocacy.</w:t>
      </w:r>
    </w:p>
    <w:bookmarkStart w:id="22" w:name="X5d76fd1199882672332990a456402258ccee000"/>
    <w:p>
      <w:pPr>
        <w:pStyle w:val="Heading4"/>
      </w:pPr>
      <w:r>
        <w:t xml:space="preserve">A. Te Tiriti o Waitangi and Māori Health Equity</w:t>
      </w:r>
    </w:p>
    <w:p>
      <w:pPr>
        <w:pStyle w:val="FirstParagraph"/>
      </w:pPr>
      <w:r>
        <w:t xml:space="preserve">New Zealand’s founding document, Te Tiriti o Waitangi (The Treaty of Waitangi), mandates that healthcare providers partner with Māori to improve health outcomes. In Wellington, this is particularly relevant given the significant Māori population. A</w:t>
      </w:r>
      <w:r>
        <w:t xml:space="preserve"> </w:t>
      </w:r>
      <w:r>
        <w:rPr>
          <w:bCs/>
          <w:b/>
        </w:rPr>
        <w:t xml:space="preserve">Midwife</w:t>
      </w:r>
      <w:r>
        <w:t xml:space="preserve"> </w:t>
      </w:r>
      <w:r>
        <w:t xml:space="preserve">working in this region is expected to practice in a manner that upholds the principles of partnership, participation, and protection. This involves engaging with local iwi (tribes) and utilizing models such as Whanau Ora, which focuses on holistic family well-being rather than isolated medical interventions. The integration of Māori health practices into midwifery care ensures that Māori mothers feel respected and supported during their pregnancy journey.</w:t>
      </w:r>
    </w:p>
    <w:bookmarkEnd w:id="22"/>
    <w:bookmarkStart w:id="23" w:name="b.-pacific-island-communities"/>
    <w:p>
      <w:pPr>
        <w:pStyle w:val="Heading4"/>
      </w:pPr>
      <w:r>
        <w:t xml:space="preserve">B. Pacific Island Communities</w:t>
      </w:r>
    </w:p>
    <w:p>
      <w:pPr>
        <w:pStyle w:val="FirstParagraph"/>
      </w:pPr>
      <w:r>
        <w:t xml:space="preserve">Pacific communities also constitute a vital part of Wellington’s demographic makeup. Midwives in this region must navigate language barriers and cultural expectations regarding childbirth. The</w:t>
      </w:r>
      <w:r>
        <w:t xml:space="preserve"> </w:t>
      </w:r>
      <w:r>
        <w:rPr>
          <w:bCs/>
          <w:b/>
        </w:rPr>
        <w:t xml:space="preserve">Midwife</w:t>
      </w:r>
      <w:r>
        <w:t xml:space="preserve"> </w:t>
      </w:r>
      <w:r>
        <w:t xml:space="preserve">is often the primary point of contact for these families, requiring skills in cross-cultural communication and trust-building to ensure equitable access to care.</w:t>
      </w:r>
    </w:p>
    <w:bookmarkEnd w:id="23"/>
    <w:bookmarkEnd w:id="24"/>
    <w:bookmarkStart w:id="25" w:name="X44f19aa2206d2be193fd9bbc65bcf2d92b68e89"/>
    <w:p>
      <w:pPr>
        <w:pStyle w:val="Heading3"/>
      </w:pPr>
      <w:r>
        <w:t xml:space="preserve">IV. Clinical Practice and Public Health Impact</w:t>
      </w:r>
    </w:p>
    <w:p>
      <w:pPr>
        <w:pStyle w:val="FirstParagraph"/>
      </w:pPr>
      <w:r>
        <w:t xml:space="preserve">The clinical scope of a</w:t>
      </w:r>
      <w:r>
        <w:t xml:space="preserve"> </w:t>
      </w:r>
      <w:r>
        <w:rPr>
          <w:bCs/>
          <w:b/>
        </w:rPr>
        <w:t xml:space="preserve">New Zealand Wellington</w:t>
      </w:r>
      <w:r>
        <w:t xml:space="preserve">-based midwife is comprehensive. They manage the antenatal, intrapartum, postnatal, and newborn periods for low-risk pregnancies. This continuity of care model has been proven to reduce the need for medical interventions such as caesarean sections and epidurals while improving patient satisfaction rates.</w:t>
      </w:r>
    </w:p>
    <w:p>
      <w:pPr>
        <w:pStyle w:val="BodyText"/>
      </w:pPr>
      <w:r>
        <w:t xml:space="preserve">In Wellington, midwives often work in community settings—home visits or birth centers—such as those found in the Hutt Valley and Porirua. This decentralization of care reduces pressure on urban hospitals like Hutt Hospital. However, for high-risk pregnancies, collaboration with obstetricians at the Wellington Regional Maternity Unit is crucial. The</w:t>
      </w:r>
      <w:r>
        <w:t xml:space="preserve"> </w:t>
      </w:r>
      <w:r>
        <w:rPr>
          <w:bCs/>
          <w:b/>
        </w:rPr>
        <w:t xml:space="preserve">Midwife</w:t>
      </w:r>
      <w:r>
        <w:t xml:space="preserve"> </w:t>
      </w:r>
      <w:r>
        <w:t xml:space="preserve">plays a pivotal role in triaging these cases, ensuring that women are appropriately referred to specialists when necessary while maintaining their autonomy and choice.</w:t>
      </w:r>
    </w:p>
    <w:bookmarkEnd w:id="25"/>
    <w:bookmarkStart w:id="26" w:name="v.-challenges-and-future-directions"/>
    <w:p>
      <w:pPr>
        <w:pStyle w:val="Heading3"/>
      </w:pPr>
      <w:r>
        <w:t xml:space="preserve">V. Challenges and Future Directions</w:t>
      </w:r>
    </w:p>
    <w:p>
      <w:pPr>
        <w:pStyle w:val="FirstParagraph"/>
      </w:pPr>
      <w:r>
        <w:t xml:space="preserve">Despite the strengths of the midwifery model, several challenges persist. Workforce shortages remain a critical issue in</w:t>
      </w:r>
      <w:r>
        <w:t xml:space="preserve"> </w:t>
      </w:r>
      <w:r>
        <w:rPr>
          <w:bCs/>
          <w:b/>
        </w:rPr>
        <w:t xml:space="preserve">New Zealand Wellington</w:t>
      </w:r>
      <w:r>
        <w:t xml:space="preserve">, as in the rest of the country. Retention strategies are needed to support midwives against burnout and high workloads. Additionally, there is an ongoing need for improved access to midwifery services for rural communities surrounding Wellington, such as Kapiti and Wairarapa.</w:t>
      </w:r>
    </w:p>
    <w:p>
      <w:pPr>
        <w:pStyle w:val="BodyText"/>
      </w:pPr>
      <w:r>
        <w:t xml:space="preserve">Furthermore, the integration of technology into midwifery practice offers new opportunities but also presents ethical considerations. Telehealth consultations are becoming more common in Wellington, allowing</w:t>
      </w:r>
      <w:r>
        <w:t xml:space="preserve"> </w:t>
      </w:r>
      <w:r>
        <w:rPr>
          <w:bCs/>
          <w:b/>
        </w:rPr>
        <w:t xml:space="preserve">Midwives</w:t>
      </w:r>
      <w:r>
        <w:t xml:space="preserve"> </w:t>
      </w:r>
      <w:r>
        <w:t xml:space="preserve">to reach patients in remote areas. However, maintaining the human connection—a core tenet of midwifery—remains a priority.</w:t>
      </w:r>
    </w:p>
    <w:bookmarkEnd w:id="26"/>
    <w:bookmarkStart w:id="27" w:name="vi.-conclusion"/>
    <w:p>
      <w:pPr>
        <w:pStyle w:val="Heading3"/>
      </w:pPr>
      <w:r>
        <w:t xml:space="preserve">VI. Conclusion</w:t>
      </w:r>
    </w:p>
    <w:p>
      <w:pPr>
        <w:pStyle w:val="FirstParagraph"/>
      </w:pPr>
      <w:r>
        <w:t xml:space="preserve">In conclusion, the</w:t>
      </w:r>
      <w:r>
        <w:t xml:space="preserve"> </w:t>
      </w:r>
      <w:r>
        <w:rPr>
          <w:bCs/>
          <w:b/>
        </w:rPr>
        <w:t xml:space="preserve">Midwife</w:t>
      </w:r>
      <w:r>
        <w:t xml:space="preserve"> </w:t>
      </w:r>
      <w:r>
        <w:t xml:space="preserve">in</w:t>
      </w:r>
      <w:r>
        <w:t xml:space="preserve"> </w:t>
      </w:r>
      <w:r>
        <w:rPr>
          <w:bCs/>
          <w:b/>
        </w:rPr>
        <w:t xml:space="preserve">New Zealand Wellington</w:t>
      </w:r>
    </w:p>
    <w:p>
      <w:pPr>
        <w:pStyle w:val="BodyText"/>
      </w:pPr>
      <w:r>
        <w:t xml:space="preserve">a pivotal role in safeguarding maternal and infant health. Rooted in strong legislative frameworks and a commitment to cultural equity, midwives provide essential care that aligns with both clinical excellence and compassionate advocacy. As Wellington continues to evolve demographically, the profession must adapt by strengthening partnerships with indigenous communities, addressing workforce retention issues, and embracing technological innovations without compromising the holistic nature of midwifery care.</w:t>
      </w:r>
    </w:p>
    <w:p>
      <w:pPr>
        <w:pStyle w:val="BodyText"/>
      </w:pPr>
      <w:r>
        <w:t xml:space="preserve">The future of health in Wellington depends on supporting this dedicated profession. By investing in midwifery education and practice, we ensure that every woman receives respectful, evidence-based care. Thus, the</w:t>
      </w:r>
      <w:r>
        <w:t xml:space="preserve"> </w:t>
      </w:r>
      <w:r>
        <w:rPr>
          <w:bCs/>
          <w:b/>
        </w:rPr>
        <w:t xml:space="preserve">Midwife</w:t>
      </w:r>
      <w:r>
        <w:t xml:space="preserve"> </w:t>
      </w:r>
      <w:r>
        <w:t xml:space="preserve">remains not just a healthcare provider but a guardian of life and community well-being in New Zealand Wellington.</w:t>
      </w:r>
    </w:p>
    <w:bookmarkEnd w:id="27"/>
    <w:bookmarkStart w:id="28" w:name="vii.-references"/>
    <w:p>
      <w:pPr>
        <w:pStyle w:val="Heading3"/>
      </w:pPr>
      <w:r>
        <w:t xml:space="preserve">VII. References</w:t>
      </w:r>
    </w:p>
    <w:p>
      <w:pPr>
        <w:pStyle w:val="FirstParagraph"/>
      </w:pPr>
      <w:r>
        <w:rPr>
          <w:iCs/>
          <w:i/>
        </w:rPr>
        <w:t xml:space="preserve">(Note: In an academic submission, this section would contain full citations following APA or Harvard style.)</w:t>
      </w:r>
    </w:p>
    <w:p>
      <w:pPr>
        <w:numPr>
          <w:ilvl w:val="0"/>
          <w:numId w:val="1001"/>
        </w:numPr>
        <w:pStyle w:val="Compact"/>
      </w:pPr>
      <w:r>
        <w:t xml:space="preserve">Nursing Council of New Zealand. (2018).</w:t>
      </w:r>
      <w:r>
        <w:t xml:space="preserve"> </w:t>
      </w:r>
      <w:r>
        <w:rPr>
          <w:bCs/>
          <w:b/>
        </w:rPr>
        <w:t xml:space="preserve">The Code of Conduct for Midwives</w:t>
      </w:r>
      <w:r>
        <w:t xml:space="preserve">.</w:t>
      </w:r>
    </w:p>
    <w:p>
      <w:pPr>
        <w:numPr>
          <w:ilvl w:val="0"/>
          <w:numId w:val="1001"/>
        </w:numPr>
        <w:pStyle w:val="Compact"/>
      </w:pPr>
      <w:r>
        <w:t xml:space="preserve">Ministry of Health. (2023).</w:t>
      </w:r>
      <w:r>
        <w:t xml:space="preserve"> </w:t>
      </w:r>
      <w:r>
        <w:rPr>
          <w:bCs/>
          <w:b/>
        </w:rPr>
        <w:t xml:space="preserve">New Zealand Maternity Data Collection Annual Report</w:t>
      </w:r>
      <w:r>
        <w:t xml:space="preserve">.</w:t>
      </w:r>
    </w:p>
    <w:p>
      <w:pPr>
        <w:numPr>
          <w:ilvl w:val="0"/>
          <w:numId w:val="1001"/>
        </w:numPr>
        <w:pStyle w:val="Compact"/>
      </w:pPr>
      <w:r>
        <w:t xml:space="preserve">Ramsay, V., &amp; Thomson, G. (Eds.). (2016).</w:t>
      </w:r>
      <w:r>
        <w:t xml:space="preserve"> </w:t>
      </w:r>
      <w:r>
        <w:rPr>
          <w:iCs/>
          <w:i/>
        </w:rPr>
        <w:t xml:space="preserve">The New Zealand Midwifery Textbook</w:t>
      </w:r>
      <w:r>
        <w:t xml:space="preserve">. Oxford University Press.</w:t>
      </w:r>
    </w:p>
    <w:p>
      <w:pPr>
        <w:numPr>
          <w:ilvl w:val="0"/>
          <w:numId w:val="1001"/>
        </w:numPr>
        <w:pStyle w:val="Compact"/>
      </w:pPr>
      <w:r>
        <w:t xml:space="preserve">Tairāwhiti District Health Board. (2022).</w:t>
      </w:r>
      <w:r>
        <w:t xml:space="preserve"> </w:t>
      </w:r>
      <w:r>
        <w:rPr>
          <w:bCs/>
          <w:b/>
        </w:rPr>
        <w:t xml:space="preserve">Strategic Plan for Maternal and Child Health in Wellington Region</w:t>
      </w: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2026-07-29T23:10:46Z</dcterms:created>
  <dcterms:modified xsi:type="dcterms:W3CDTF">2026-07-29T23:10:46Z</dcterms:modified>
</cp:coreProperties>
</file>

<file path=docProps/custom.xml><?xml version="1.0" encoding="utf-8"?>
<Properties xmlns="http://schemas.openxmlformats.org/officeDocument/2006/custom-properties" xmlns:vt="http://schemas.openxmlformats.org/officeDocument/2006/docPropsVTypes"/>
</file>