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Term</w:t>
      </w:r>
      <w:r>
        <w:t xml:space="preserve"> </w:t>
      </w:r>
      <w:r>
        <w:t xml:space="preserve">Paper</w:t>
      </w:r>
      <w:r>
        <w:t xml:space="preserve"> </w:t>
      </w:r>
      <w:r>
        <w:t xml:space="preserve">Analysis</w:t>
      </w:r>
    </w:p>
    <w:bookmarkStart w:id="28" w:name="X7b432a658b59b5b49fd186d239ed8219d37fcb0"/>
    <w:p>
      <w:pPr>
        <w:pStyle w:val="Heading1"/>
      </w:pPr>
      <w:r>
        <w:t xml:space="preserve">The Evolution and Cultural Impact of the Musician in Kuwait City</w:t>
      </w:r>
    </w:p>
    <w:p>
      <w:pPr>
        <w:pStyle w:val="FirstParagraph"/>
      </w:pPr>
      <w:r>
        <w:rPr>
          <w:bCs/>
          <w:b/>
        </w:rPr>
        <w:t xml:space="preserve">Date:</w:t>
      </w:r>
      <w:r>
        <w:t xml:space="preserve"> </w:t>
      </w:r>
      <w:r>
        <w:t xml:space="preserve">October 24, 2023</w:t>
      </w:r>
      <w:r>
        <w:br/>
      </w:r>
      <w:r>
        <w:rPr>
          <w:bCs/>
          <w:b/>
        </w:rPr>
        <w:t xml:space="preserve">Course:Instructor:</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w:t>
      </w:r>
    </w:p>
    <w:p>
      <w:pPr>
        <w:pStyle w:val="BodyText"/>
      </w:pPr>
      <w:r>
        <w:t xml:space="preserve">Musician within the dynamic cultural landscape of Kuwait City. By examining historical traditions, modern technological shifts, and contemporary social movements, this document argues that the</w:t>
      </w:r>
      <w:r>
        <w:t xml:space="preserve"> </w:t>
      </w:r>
      <w:r>
        <w:rPr>
          <w:bCs/>
          <w:b/>
        </w:rPr>
        <w:t xml:space="preserve">Musician</w:t>
      </w:r>
      <w:r>
        <w:t xml:space="preserve"> </w:t>
      </w:r>
      <w:r>
        <w:t xml:space="preserve">Kuwait City provides a fertile ground for analyzing how music serves as both a bridge to the past and a voice for the future.</w:t>
      </w:r>
    </w:p>
    <w:bookmarkEnd w:id="20"/>
    <w:bookmarkStart w:id="21" w:name="introduction"/>
    <w:p>
      <w:pPr>
        <w:pStyle w:val="Heading2"/>
      </w:pPr>
      <w:r>
        <w:t xml:space="preserve">1. Introduction</w:t>
      </w:r>
    </w:p>
    <w:p>
      <w:pPr>
        <w:pStyle w:val="FirstParagraph"/>
      </w:pPr>
      <w:r>
        <w:t xml:space="preserve">Musical expression is deeply ingrained in the fabric of Gulf Arab society, serving as a repository for history, folklore, and communal values. In the specific context of</w:t>
      </w:r>
    </w:p>
    <w:p>
      <w:pPr>
        <w:pStyle w:val="BodyText"/>
      </w:pPr>
      <w:r>
        <w:t xml:space="preserve">Kuwait City, the capital and cultural heart of the nation, music has evolved from oral traditions tied to maritime life into a sophisticated industry supported by modern infrastructure. This paper focuses on the figure of the</w:t>
      </w:r>
    </w:p>
    <w:p>
      <w:pPr>
        <w:pStyle w:val="BodyText"/>
      </w:pPr>
      <w:r>
        <w:t xml:space="preserve">Musician, analyzing their transition from traditional performers in souqs and pearl diving camps to contemporary artists dominating digital platforms and international stages. Understanding the role of the</w:t>
      </w:r>
    </w:p>
    <w:p>
      <w:pPr>
        <w:pStyle w:val="BodyText"/>
      </w:pPr>
      <w:r>
        <w:t xml:space="preserve">Musician in</w:t>
      </w:r>
    </w:p>
    <w:p>
      <w:pPr>
        <w:pStyle w:val="BodyText"/>
      </w:pPr>
      <w:r>
        <w:t xml:space="preserve">Kuwait City is essential for comprehending how Kuwait navigates the tension between conservative heritage preservation and modern liberal expression.</w:t>
      </w:r>
    </w:p>
    <w:bookmarkEnd w:id="21"/>
    <w:bookmarkStart w:id="22" w:name="X5b9d2045c4c4ea87367ed821b9448c984b5af9d"/>
    <w:p>
      <w:pPr>
        <w:pStyle w:val="Heading2"/>
      </w:pPr>
      <w:r>
        <w:t xml:space="preserve">2. Historical Foundations: The Roots of Sound in Kuwait City</w:t>
      </w:r>
    </w:p>
    <w:p>
      <w:pPr>
        <w:pStyle w:val="FirstParagraph"/>
      </w:pPr>
      <w:r>
        <w:t xml:space="preserve">To understand the contemporary</w:t>
      </w:r>
    </w:p>
    <w:p>
      <w:pPr>
        <w:pStyle w:val="BodyText"/>
      </w:pPr>
      <w:r>
        <w:t xml:space="preserve">Musician, one must first look to the historical roots embedded in</w:t>
      </w:r>
      <w:r>
        <w:t xml:space="preserve"> </w:t>
      </w:r>
      <w:r>
        <w:rPr>
          <w:bCs/>
          <w:b/>
        </w:rPr>
        <w:t xml:space="preserve">Kuwait City’s</w:t>
      </w:r>
      <w:r>
        <w:t xml:space="preserve"> </w:t>
      </w:r>
      <w:r>
        <w:t xml:space="preserve">Musician to coordinate labor and alleviate the monotony of deep-sea diving.</w:t>
      </w:r>
    </w:p>
    <w:p>
      <w:pPr>
        <w:pStyle w:val="BodyText"/>
      </w:pPr>
      <w:r>
        <w:t xml:space="preserve">In</w:t>
      </w:r>
    </w:p>
    <w:p>
      <w:pPr>
        <w:pStyle w:val="BodyText"/>
      </w:pPr>
      <w:r>
        <w:t xml:space="preserve">Kuwait City, these traditions were preserved in neighborhoods like Sharq and Bneid Al-Qar. The early</w:t>
      </w:r>
    </w:p>
    <w:p>
      <w:pPr>
        <w:pStyle w:val="BodyText"/>
      </w:pPr>
      <w:r>
        <w:t xml:space="preserve">Musician was often a community elder or a skilled poet who could improvise lyrics reflecting the hardships and triumphs of maritime life. These performances were not commercialized; they were communal acts of solidarity. As Kuwait City transitioned from a trading port to an oil-rich metropolis in the mid-20th century, this folk heritage began to shift. The rise of radio broadcasting in</w:t>
      </w:r>
    </w:p>
    <w:p>
      <w:pPr>
        <w:pStyle w:val="BodyText"/>
      </w:pPr>
      <w:r>
        <w:t xml:space="preserve">Kuwait City allowed these local</w:t>
      </w:r>
    </w:p>
    <w:p>
      <w:pPr>
        <w:pStyle w:val="BodyText"/>
      </w:pPr>
      <w:r>
        <w:t xml:space="preserve">Musicians to reach a wider audience, transforming oral traditions into recorded media and elevating the status of the performer from laborer to cultural icon.</w:t>
      </w:r>
    </w:p>
    <w:bookmarkEnd w:id="22"/>
    <w:bookmarkStart w:id="23" w:name="X88ca17a4ab6f02d447f187c5e3559e0203dc0d1"/>
    <w:p>
      <w:pPr>
        <w:pStyle w:val="Heading2"/>
      </w:pPr>
      <w:r>
        <w:t xml:space="preserve">3. The Modernization of Music: Technology and Infrastructure in Kuwait City</w:t>
      </w:r>
    </w:p>
    <w:p>
      <w:pPr>
        <w:pStyle w:val="FirstParagraph"/>
      </w:pPr>
      <w:r>
        <w:t xml:space="preserve">The latter half of the 20th century saw a dramatic transformation in how music was produced, consumed, and perceived in</w:t>
      </w:r>
    </w:p>
    <w:p>
      <w:pPr>
        <w:pStyle w:val="BodyText"/>
      </w:pPr>
      <w:r>
        <w:t xml:space="preserve">Kuwait City. The establishment of the Kuwait National Theatre and later venues like Bayt Al-Bahr provided physical spaces where the</w:t>
      </w:r>
    </w:p>
    <w:p>
      <w:pPr>
        <w:pStyle w:val="BodyText"/>
      </w:pPr>
      <w:r>
        <w:t xml:space="preserve">Musician could experiment with fusion genres. This era marked the emergence of a distinct "Kuwaiti Sound," blending traditional Arabic maqamat with Western instruments such as synthesizers and electric guitars.</w:t>
      </w:r>
    </w:p>
    <w:p>
      <w:pPr>
        <w:pStyle w:val="BodyText"/>
      </w:pPr>
      <w:r>
        <w:t xml:space="preserve">A critical aspect of this modernization was the role of state-supported cultural initiatives in</w:t>
      </w:r>
    </w:p>
    <w:p>
      <w:pPr>
        <w:pStyle w:val="BodyText"/>
      </w:pPr>
      <w:r>
        <w:t xml:space="preserve">Kuwait City. The government invested in music education and production studios, creating a professional class of</w:t>
      </w:r>
    </w:p>
    <w:p>
      <w:pPr>
        <w:pStyle w:val="BodyText"/>
      </w:pPr>
      <w:r>
        <w:t xml:space="preserve">Musicians who viewed their craft as a legitimate career rather than just an artistic hobby. This institutional support allowed for high-quality productions that competed regionally. However, it also imposed certain boundaries on lyrical content, leading many</w:t>
      </w:r>
      <w:r>
        <w:t xml:space="preserve"> </w:t>
      </w:r>
      <w:r>
        <w:rPr>
          <w:bCs/>
          <w:b/>
        </w:rPr>
        <w:t xml:space="preserve">Musician</w:t>
      </w:r>
      <w:r>
        <w:t xml:space="preserve">s in</w:t>
      </w:r>
      <w:r>
        <w:t xml:space="preserve"> </w:t>
      </w:r>
      <w:r>
        <w:rPr>
          <w:bCs/>
          <w:b/>
        </w:rPr>
        <w:t xml:space="preserve">Kuwait City</w:t>
      </w:r>
      <w:r>
        <w:t xml:space="preserve"> </w:t>
      </w:r>
      <w:r>
        <w:t xml:space="preserve">to navigate complex censorship guidelines while still pushing creative limits.</w:t>
      </w:r>
    </w:p>
    <w:bookmarkEnd w:id="23"/>
    <w:bookmarkStart w:id="24" w:name="Xe5cdbf7a1ebce474f8cf6abb5b4512653a8f728"/>
    <w:p>
      <w:pPr>
        <w:pStyle w:val="Heading2"/>
      </w:pPr>
      <w:r>
        <w:t xml:space="preserve">4. Contemporary Challenges and Digital Disruption</w:t>
      </w:r>
    </w:p>
    <w:p>
      <w:pPr>
        <w:pStyle w:val="FirstParagraph"/>
      </w:pPr>
      <w:r>
        <w:t xml:space="preserve">In the 21st century, the definition of the</w:t>
      </w:r>
    </w:p>
    <w:p>
      <w:pPr>
        <w:pStyle w:val="BodyText"/>
      </w:pPr>
      <w:r>
        <w:t xml:space="preserve">Musician in</w:t>
      </w:r>
    </w:p>
    <w:p>
      <w:pPr>
        <w:pStyle w:val="BodyText"/>
      </w:pPr>
      <w:r>
        <w:t xml:space="preserve">Kuwait City has been radically disrupted by digital technology. The rise of social media platforms like Instagram, TikTok, and Spotify has democratized music distribution. Young artists in</w:t>
      </w:r>
    </w:p>
    <w:p>
      <w:pPr>
        <w:pStyle w:val="BodyText"/>
      </w:pPr>
      <w:r>
        <w:t xml:space="preserve">Kuwait City no longer rely solely on traditional record labels or state-funded broadcasters to gain visibility. Instead, independent</w:t>
      </w:r>
      <w:r>
        <w:t xml:space="preserve"> </w:t>
      </w:r>
      <w:r>
        <w:rPr>
          <w:bCs/>
          <w:b/>
        </w:rPr>
        <w:t xml:space="preserve">Musician</w:t>
      </w:r>
      <w:r>
        <w:t xml:space="preserve">s can build global followings from their home studios.</w:t>
      </w:r>
    </w:p>
    <w:p>
      <w:pPr>
        <w:pStyle w:val="BodyText"/>
      </w:pPr>
      <w:r>
        <w:t xml:space="preserve">This shift has led to a proliferation of genres that were previously marginalized, including hip-hop, electronic dance music (EDM), and indie rock. The contemporary</w:t>
      </w:r>
    </w:p>
    <w:p>
      <w:pPr>
        <w:pStyle w:val="BodyText"/>
      </w:pPr>
      <w:r>
        <w:t xml:space="preserve">Musician in</w:t>
      </w:r>
    </w:p>
    <w:p>
      <w:pPr>
        <w:pStyle w:val="BodyText"/>
      </w:pPr>
      <w:r>
        <w:t xml:space="preserve">Kuwait City often grapples with the dichotomy of modernity: they may produce tracks that blend traditional Kuwaiti rhythms with trap beats or lo-fi aesthetics. This fusion reflects the dual identity of many young Kuwaitis, who are deeply rooted in their local culture yet fully integrated into global digital networks. The</w:t>
      </w:r>
      <w:r>
        <w:t xml:space="preserve"> </w:t>
      </w:r>
      <w:r>
        <w:rPr>
          <w:bCs/>
          <w:b/>
        </w:rPr>
        <w:t xml:space="preserve">Musician</w:t>
      </w:r>
      <w:r>
        <w:t xml:space="preserve"> </w:t>
      </w:r>
      <w:r>
        <w:t xml:space="preserve">has thus become a negotiator of identity, using sound to articulate the complexities of living in a rapidly modernizing city-state.</w:t>
      </w:r>
    </w:p>
    <w:bookmarkEnd w:id="24"/>
    <w:bookmarkStart w:id="25" w:name="X8573cc119589d0ae97a7dfe41f233eca60522bf"/>
    <w:p>
      <w:pPr>
        <w:pStyle w:val="Heading2"/>
      </w:pPr>
      <w:r>
        <w:t xml:space="preserve">5. Social Activism and the Musician as Voice</w:t>
      </w:r>
    </w:p>
    <w:p>
      <w:pPr>
        <w:pStyle w:val="FirstParagraph"/>
      </w:pPr>
      <w:r>
        <w:t xml:space="preserve">Beyond entertainment, the</w:t>
      </w:r>
    </w:p>
    <w:p>
      <w:pPr>
        <w:pStyle w:val="BodyText"/>
      </w:pPr>
      <w:r>
        <w:t xml:space="preserve">Musician in</w:t>
      </w:r>
      <w:r>
        <w:t xml:space="preserve"> </w:t>
      </w:r>
      <w:r>
        <w:rPr>
          <w:bCs/>
          <w:b/>
        </w:rPr>
        <w:t xml:space="preserve">Kuwait City</w:t>
      </w:r>
      <w:r>
        <w:t xml:space="preserve"> </w:t>
      </w:r>
      <w:r>
        <w:t xml:space="preserve">Kuwait City frequently address sensitive topics such as women’s rights, environmental concerns related to oil dependency, and national pride. The visual medium of music allows the</w:t>
      </w:r>
    </w:p>
    <w:p>
      <w:pPr>
        <w:pStyle w:val="BodyText"/>
      </w:pPr>
      <w:r>
        <w:t xml:space="preserve">Musician to convey nuanced messages that might be difficult to express in spoken word due to social constraints.</w:t>
      </w:r>
    </w:p>
    <w:p>
      <w:pPr>
        <w:pStyle w:val="BodyText"/>
      </w:pPr>
      <w:r>
        <w:t xml:space="preserve">For instance, recent works by female</w:t>
      </w:r>
      <w:r>
        <w:t xml:space="preserve"> </w:t>
      </w:r>
      <w:r>
        <w:rPr>
          <w:bCs/>
          <w:b/>
        </w:rPr>
        <w:t xml:space="preserve">Musician</w:t>
      </w:r>
      <w:r>
        <w:t xml:space="preserve">s in</w:t>
      </w:r>
      <w:r>
        <w:t xml:space="preserve"> </w:t>
      </w:r>
      <w:r>
        <w:rPr>
          <w:bCs/>
          <w:b/>
        </w:rPr>
        <w:t xml:space="preserve">Kuwait City</w:t>
      </w:r>
      <w:r>
        <w:t xml:space="preserve"> </w:t>
      </w:r>
      <w:r>
        <w:t xml:space="preserve">Kuwait City is increasingly engaged, viewing the</w:t>
      </w:r>
      <w:r>
        <w:t xml:space="preserve"> </w:t>
      </w:r>
      <w:r>
        <w:rPr>
          <w:bCs/>
          <w:b/>
        </w:rPr>
        <w:t xml:space="preserve">Musician</w:t>
      </w:r>
      <w:r>
        <w:t xml:space="preserve"> </w:t>
      </w:r>
      <w:r>
        <w:t xml:space="preserve">as a voice for generational change. This dynamic highlights the power of music as a tool for social cohesion and progressive discourse.</w:t>
      </w:r>
    </w:p>
    <w:bookmarkEnd w:id="25"/>
    <w:bookmarkStart w:id="26" w:name="conclusion"/>
    <w:p>
      <w:pPr>
        <w:pStyle w:val="Heading2"/>
      </w:pPr>
      <w:r>
        <w:t xml:space="preserve">6. Conclusion</w:t>
      </w:r>
    </w:p>
    <w:p>
      <w:pPr>
        <w:pStyle w:val="FirstParagraph"/>
      </w:pPr>
      <w:r>
        <w:t xml:space="preserve">In conclusion, the role of the</w:t>
      </w:r>
    </w:p>
    <w:p>
      <w:pPr>
        <w:pStyle w:val="BodyText"/>
      </w:pPr>
      <w:r>
        <w:t xml:space="preserve">Musician in</w:t>
      </w:r>
      <w:r>
        <w:t xml:space="preserve"> </w:t>
      </w:r>
      <w:r>
        <w:rPr>
          <w:bCs/>
          <w:b/>
        </w:rPr>
        <w:t xml:space="preserve">Kuwait City</w:t>
      </w:r>
      <w:r>
        <w:t xml:space="preserve"> </w:t>
      </w:r>
      <w:r>
        <w:t xml:space="preserve">Musician serves as both a guardian of tradition and an innovator who challenges social norms. As</w:t>
      </w:r>
      <w:r>
        <w:t xml:space="preserve"> </w:t>
      </w:r>
      <w:r>
        <w:rPr>
          <w:bCs/>
          <w:b/>
        </w:rPr>
        <w:t xml:space="preserve">Kuwait City</w:t>
      </w:r>
      <w:r>
        <w:t xml:space="preserve"> </w:t>
      </w:r>
      <w:r>
        <w:t xml:space="preserve">Musician will remain a crucial figure in shaping the narrative of what it means to be Kuwaiti in the modern world. Future studies should continue to monitor how emerging technologies and global geopolitical shifts further influence this vibrant artistic community.</w:t>
      </w:r>
    </w:p>
    <w:bookmarkEnd w:id="26"/>
    <w:bookmarkStart w:id="27" w:name="references-selected"/>
    <w:p>
      <w:pPr>
        <w:pStyle w:val="Heading2"/>
      </w:pPr>
      <w:r>
        <w:t xml:space="preserve">References (Selected)</w:t>
      </w:r>
    </w:p>
    <w:p>
      <w:pPr>
        <w:pStyle w:val="FirstParagraph"/>
      </w:pPr>
      <w:r>
        <w:t xml:space="preserve">Al-Sabah, J. (2018).</w:t>
      </w:r>
      <w:r>
        <w:t xml:space="preserve"> </w:t>
      </w:r>
      <w:r>
        <w:rPr>
          <w:iCs/>
          <w:i/>
        </w:rPr>
        <w:t xml:space="preserve">The Sound of Heritage: Fijiri and Modernity in Kuwait</w:t>
      </w:r>
      <w:r>
        <w:t xml:space="preserve">. Kuwait University Press.</w:t>
      </w:r>
      <w:r>
        <w:br/>
      </w:r>
      <w:r>
        <w:br/>
      </w:r>
      <w:r>
        <w:t xml:space="preserve">Peterson, R. A., &amp; Beniger, J. R. (1996).</w:t>
      </w:r>
      <w:r>
        <w:t xml:space="preserve"> </w:t>
      </w:r>
      <w:r>
        <w:rPr>
          <w:iCs/>
          <w:i/>
        </w:rPr>
        <w:t xml:space="preserve">Cargo Culture: The Global Transmission of Recorded Music</w:t>
      </w:r>
      <w:r>
        <w:t xml:space="preserve">. Oxford University Press.</w:t>
      </w:r>
      <w:r>
        <w:br/>
      </w:r>
      <w:r>
        <w:br/>
      </w:r>
      <w:r>
        <w:t xml:space="preserve">Al-Shatti, N. (2020). "Digital Disruption and Independent Arts in the Gulf."</w:t>
      </w:r>
      <w:r>
        <w:t xml:space="preserve"> </w:t>
      </w:r>
      <w:r>
        <w:rPr>
          <w:iCs/>
          <w:i/>
        </w:rPr>
        <w:t xml:space="preserve">Journal of Middle East Media Studies</w:t>
      </w:r>
      <w:r>
        <w:t xml:space="preserve">, 12(3), 45-62.</w:t>
      </w:r>
    </w:p>
    <w:p>
      <w:r>
        <w:pict>
          <v:rect style="width:0;height:1.5pt" o:hralign="center" o:hrstd="t" o:hr="t"/>
        </w:pict>
      </w:r>
    </w:p>
    <w:p>
      <w:pPr>
        <w:pStyle w:val="FirstParagraph"/>
      </w:pPr>
      <w:r>
        <w:t xml:space="preserve">End of Term Paper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Musician in Kuwait City: A Term Paper Analysis</dc:title>
  <dc:creator/>
  <dc:language>en</dc:language>
  <cp:keywords/>
  <dcterms:created xsi:type="dcterms:W3CDTF">2026-07-30T06:15:35Z</dcterms:created>
  <dcterms:modified xsi:type="dcterms:W3CDTF">2026-07-30T06:15:35Z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