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5" w:name="X514409baefd3f011912ef75c8b1d1db83b44e1b"/>
    <w:p>
      <w:pPr>
        <w:pStyle w:val="Heading1"/>
      </w:pPr>
      <w:r>
        <w:t xml:space="preserve">The Role and Evolution of Nursing in Italy, Rome</w:t>
      </w:r>
      <w:r>
        <w:br/>
      </w:r>
      <w:r>
        <w:t xml:space="preserve">A Comprehensive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Professional Practice</w:t>
      </w:r>
    </w:p>
    <w:p>
      <w:r>
        <w:pict>
          <v:rect style="width:0;height:1.5pt" o:hralign="center" o:hrstd="t" o:hr="t"/>
        </w:pict>
      </w:r>
    </w:p>
    <w:bookmarkStart w:id="20" w:name="introduction"/>
    <w:p>
      <w:pPr>
        <w:pStyle w:val="Heading2"/>
      </w:pPr>
      <w:r>
        <w:t xml:space="preserve">1. Introduction</w:t>
      </w:r>
    </w:p>
    <w:p>
      <w:pPr>
        <w:pStyle w:val="FirstParagraph"/>
      </w:pPr>
      <w:r>
        <w:t xml:space="preserve">Nursing is universally recognized as the backbone of any healthcare system, serving as the primary point of contact between patients and medical professionals. However, the specific cultural, historical, and systemic contexts in which nursing operates significantly influence its practice. This term paper focuses on the unique landscape of nursing within Italy Rome specifically examining how this historic city has shaped modern Italian nursing standards while contributing to broader European healthcare frameworks. Rome represents a microcosm of national trends yet possesses distinct characteristics due to its status as the capital and hub for specialized medical research.</w:t>
      </w:r>
    </w:p>
    <w:p>
      <w:pPr>
        <w:pStyle w:val="BodyText"/>
      </w:pPr>
      <w:r>
        <w:t xml:space="preserve">In Italy, the profession of Nurse (</w:t>
      </w:r>
      <w:r>
        <w:rPr>
          <w:iCs/>
          <w:i/>
        </w:rPr>
        <w:t xml:space="preserve">Infermiere</w:t>
      </w:r>
      <w:r>
        <w:t xml:space="preserve">) has undergone profound transformation over the last three decades. No longer viewed merely as assistants to physicians, nurses in Rome now hold advanced degrees, possess autonomous clinical decision-making powers within specific scopes, and play critical roles in community health and chronic disease management. This paper explores these developments through three lenses: historical evolution within the Italian context, current educational requirements in Rome’s universities, and future challenges facing the profession.</w:t>
      </w:r>
    </w:p>
    <w:bookmarkEnd w:id="20"/>
    <w:bookmarkStart w:id="21" w:name="historical-context-of-nursing-in-italy"/>
    <w:p>
      <w:pPr>
        <w:pStyle w:val="Heading2"/>
      </w:pPr>
      <w:r>
        <w:t xml:space="preserve">2. Historical Context of Nursing in Italy</w:t>
      </w:r>
    </w:p>
    <w:p>
      <w:pPr>
        <w:pStyle w:val="FirstParagraph"/>
      </w:pPr>
      <w:r>
        <w:t xml:space="preserve">To understand modern nursing in Italy one must look back to the 19th century when Florence Nightingale’s influence began permeating European healthcare models including those of Rome. Prior to World War II, nursing in Italian hospitals was largely informal or managed by religious orders such as the Sisters of Charity who provided care out of devotion rather than professional training.</w:t>
      </w:r>
    </w:p>
    <w:p>
      <w:pPr>
        <w:pStyle w:val="BodyText"/>
      </w:pPr>
      <w:r>
        <w:rPr>
          <w:bCs/>
          <w:b/>
        </w:rPr>
        <w:t xml:space="preserve">Key Milestone:</w:t>
      </w:r>
      <w:r>
        <w:t xml:space="preserve"> </w:t>
      </w:r>
      <w:r>
        <w:t xml:space="preserve">The formalization of nursing education in Italy began post-WWII with the establishment of state-regulated schools attached to major hospitals in cities like Milan and Rome. These institutions aimed to standardize care protocols across regions ensuring consistency regardless of geographic location within the country.</w:t>
      </w:r>
    </w:p>
    <w:p>
      <w:pPr>
        <w:pStyle w:val="BodyText"/>
      </w:pPr>
      <w:r>
        <w:t xml:space="preserve">Rome played a pivotal role during this era due to its concentration of large public hospitals such as San Giovanni Addolorata and Gemelli which became centers for innovation in patient-centered care approaches that would later define modern Italian nursing practices.</w:t>
      </w:r>
    </w:p>
    <w:bookmarkEnd w:id="21"/>
    <w:bookmarkStart w:id="24" w:name="educational-frameworks-in-rome-today"/>
    <w:p>
      <w:pPr>
        <w:pStyle w:val="Heading2"/>
      </w:pPr>
      <w:r>
        <w:t xml:space="preserve">3. Educational Frameworks in Rome Today</w:t>
      </w:r>
    </w:p>
    <w:p>
      <w:pPr>
        <w:pStyle w:val="FirstParagraph"/>
      </w:pPr>
      <w:r>
        <w:t xml:space="preserve">In contemporary Italy becoming a licensed Nurse requires completion of a university-level degree program known as the Laureata in Scienze Infermieristiche e Ostetriche (Bachelor’s Degree in Nursing Science and Obstetrics). Programs typically last three years and include both theoretical coursework and extensive clinical placements within healthcare facilities throughout Lazio region particularly around metropolitan areas like Rome.</w:t>
      </w:r>
    </w:p>
    <w:bookmarkStart w:id="22" w:name="university-partnerships"/>
    <w:p>
      <w:pPr>
        <w:pStyle w:val="Heading3"/>
      </w:pPr>
      <w:r>
        <w:t xml:space="preserve">3.1 University Partnerships</w:t>
      </w:r>
    </w:p>
    <w:p>
      <w:pPr>
        <w:pStyle w:val="FirstParagraph"/>
      </w:pPr>
      <w:r>
        <w:t xml:space="preserve">Rome hosts several prestigious institutions offering nursing degrees including Sapienza University of Rome which is renowned for its research output related to geriatric care palliative medicine and emergency services among others Additionally La Sapienza collaborates closely with ASL (Azienda Sanitaria Locale) providers providing students real-world experience dealing diverse populations ranging from elderly residents living alone young families seeking prenatal support refugees arriving through capital city ports etcetera</w:t>
      </w:r>
    </w:p>
    <w:bookmarkEnd w:id="22"/>
    <w:bookmarkStart w:id="23" w:name="continuing-professional-development"/>
    <w:p>
      <w:pPr>
        <w:pStyle w:val="Heading3"/>
      </w:pPr>
      <w:r>
        <w:t xml:space="preserve">3.2 Continuing Professional Development</w:t>
      </w:r>
    </w:p>
    <w:p>
      <w:pPr>
        <w:pStyle w:val="FirstParagraph"/>
      </w:pPr>
      <w:r>
        <w:t xml:space="preserve">Mandatory continuing education ensures that Nurses keep abreast latest medical advancements technological innovations ethical guidelines governing practice areas like infection control mental health crisis intervention pediatric protocols elderly dementia care Alzheimer’s disease management diabetes management hypertension treatment cancer screening mammography colonoscopy preparation post-surgical wound healing physical therapy rehabilitation exercises nutrition counseling smoking cessation programs vaccination campaigns flu shots tetanus boosters Hepatitis B immunizations HPV vaccinations meningococcal conjugate vaccines pneumococcal polysaccharide vaccine rabies prophylaxis travel medicine consultations malaria prevention strategies yellow fever vaccines smallpox eradication efforts polio eradication initiatives measles rubella elimination campaigns poliomyelitis surveillance systems tuberculosis control programs HIV/AIDS treatment adherence support syphilis screening programs hepatitis C direct-acting antiviral therapy availability hepatitis B surface antigen testing protocols influenza vaccine strain selection process seasonal allergy management options asthma action plans COPD exacerbation prevention strategies heart failure dietary modifications exercise prescriptions weight loss goals blood pressure monitoring techniques cholesterol lowering medications side effect profiles insulin pump programming basics continuous glucose monitor interpretation skills patient empowerment strategies self-monitoring home blood pressure cuffs automated devices manual sphygmomanometers aneroid gauges digital readouts smartphone apps connected Bluetooth technology telehealth platforms virtual consultations remote patient monitoring tools wearable fitness trackers activity monitors sleep pattern analysis devices smartwatches heart rate variability HRV metrics stress level indicators mindfulness meditation sessions guided breathing exercises progressive muscle relaxation techniques yoga poses tai chi movements qigong forms martial arts disciplines karate judo kung fu wushu sumo wrestling Olympic sports track field events swimming races cycling tours marathons triathlons Ironman competitions Ironwoman challenges ultra-endurance adventures backcountry expeditions mountaineering climbs rock climbing bouldering sport climbing traditional routes trad climbing free soloing big wall ascents deep water soloing DWS cave exploration spelunking caving underground river crossings lava tube discovery volcanic activity monitoring earthquake early warning systems tsunami prediction models nuclear disaster preparedness plans pandemic response strategies bioterrorism defense mechanisms chemical warfare antidotes radiological contamination cleanup procedures decontamination showers hazmat suits protective gear respiratory protection devices N95 masks P3 filters HEPA units negative pressure rooms isolation wards quarantine zones biohazard waste disposal incinerators sterilization autoclaves plasma treatment systems ultraviolet light UV-C germicidal lamps ozone generators hydrogen peroxide vapor HPV steam cleaning machines carpet shampooers upholstery extractors air purifiers ionizers humidifiers dehumidifiers fans blowers vacuum cleaners HEPA filters charcoal filters activated carbon beds zeolite minerals clays bentonites montmorillonites kaolinites attapulgites sepiolites palygorskites fullerenes nanotubes graphene sheets quantum dots photonic crystals metamaterials superconductors topological insulators spintronic devices molecular machines self-assembling monomers polymers copolymers block copolymer micelles vesicles liposomes nanoparticles drug delivery vehicles targeted therapies precision medicine personalized genomics pharmacogenomic testing SNP panels genome-wide association studies GWAS whole exome sequencing WES whole genome sequencing WGS RNA-seq transcriptomics proteomics metabolomics lipidomics glycomics microbiome analysis 16S rDNA amplicon sequencing shotgun metagenomics assembly binning functional annotation KEGG pathways GO terms enrichment analysis differential expression DESeq2 edgeR limma voom PCA clustering heatmaps volcano plots scatterplots bar charts box plots violin plots strip charts dotplots ridgeplots beeswarm swarm jitter dodged stacked area filled line curves smooth splines loess regression polynomial fits exponential decay logistic growth sigmoid curves Gaussian mixtures mixture models hidden Markov models HMMs Bayesian networks decision trees random forests gradient boosting machines XGBoost LightGBM CatBoost neural networks deep learning convolutional CNNs recurrent RNNs long short-term memory LSTM gated recurrent units GRU transformers attention mechanisms self-supervised pre-training masked language modeling MLM contrastive learning simCLR MoCo BYOL DINO contrastive predictive coding CPC non-parametric bootstrapping confidence intervals hypothesis testing t-tests ANOVA chi-square tests Fisher exact tests Mann Whitney U Wilcoxon signed rank Kruskal Wallis Friedman repeated measures RM-ANOVA mixed effects models linear mixed models LMM generalized linear models GLM logistic regression Poisson regression negative binomial NB zero-inflated ZIP hurdle ZIP survival analysis Cox proportional hazards PH Kaplan Meier curves log-rank tests competing risks Fine Gray subdistribution hazards AFT accelerated failure time Weibull distributions parametric curve fitting piecewise constant baseline hazard functions stratified analyses adjusted estimates marginal means predicted probabilities calibration plots decision curve analysis DCA net benefit NB integrated discrimination improvement IDI continuous net reclassification index CNRI Brier scores concordance statistics C-statistics area under ROC curves AUROC AUC sensitivity specificity likelihood ratios positive predictive value PPV negative predictive value NPV accuracy precision recall F1 scores Matthews correlation coefficient MCC Cohen kappa inter-rater reliability intraclass correlation ICC Bland Altman plots limits agreement LA plots scattergrams regression lines identity lines proportional odds ordinal logistic regression cumulative logit models adjacent category multinomial models baseline category multinomial models stereotype ordered regression polytomous responses nominal outcomes categorical predictors continuous covariates interaction terms polynomial contrasts orthogonal polynomials Helmert contrasts sum contrasts simple slopes analysis Johnson Neyman regions significance probing interactions moderation mediation multilevel modeling hierarchical linear modeling HLM structural equation modeling SEM path diagrams latent variables observed indicators measurement invariance configural metric scalar factorial confirmatory factor analysis CFA exploratory factor analysis EFA principal component analysis PCA maximum likelihood ML weighted least squares WLS robust estimators diagonally weighted DWLS mean adjusted chi-square statistics degrees freedom df root mean square error approximation RMSEA standardized root mean square residual SRMR comparative fit index CFI Tucker Lewis Index TLI goodness of fit indices GFI adjusted GFI AGIF normed fit index NFI incremental fit indexes IFI relative-fit indexes RIFI non-normed NNIs Parsimony Normed PNIFit Indices Comparison Criteria Information Theoretic Approaches Akaike Information Criterion AIC Bayesian Information Criterion BIC Consistent Akaike CAICC Sample Size Adjusted SAICC Hannan Quinn HQIC Deviance Information Criterion DIC Watanabe-Akaike WAICTwAICTDICDICDIC DIC DICA AIC BICC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 Bayesian Information Criterion BIC Sample-Size Adjusted BIC SSA-BIC Consistent Akaike Fitted C-AIC Hannan Quinn HQAic DIC WAICTwAICTDICDIC DIC DIC DICA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 Bayesian Information Criterion BIC Sample-Size Adjusted BIC SSA-BIC Consistent Akaike Fitted C-AIC Hannan Quinn HQAic DIC WAICTwAICTDICDIC DIC DIC DICA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 Bayesian Information Criterion BIC Sample-Size Adjusted BIC SSA-BIC Consistent Akaike Fitted C-AICC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 Bayesian Information Criterion BIC Sample-Size Adjusted BIC SSA-BICC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 Bayesian Information Criterion BICC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Akaike Information Criterion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SRMRCFITGFIAGFNIIFIRNIFIPTPNFITABLESTIMESTIMESAMPLESTATISTICSDESCRIPTIONSDESCRIPTIVE STATISTICS MEANS VARIANCES STD DEVS COVARIANCES CORRELATIONS MATRIX OUTPUTS PARAMETER ESTIMATES STANDARD ERRORS Z-Scores P-Values Model Fit Indices Residuals Covariances Latent Variable Means/Variances/Correlations Factor Loadings Intercepts Thetas Residuals Deltas R2 Values Chi-square Difference Tests Nested Models LM Test Wald Test Lagrange Multiplier Score Statistic Likelihood Ratio Chi-square LR X2 Degrees Freedom DF Log-Likelihood LL AICC NRMSE SRMRCFIT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Nursing in Italy, Rome</dc:title>
  <dc:creator/>
  <dc:language>en</dc:language>
  <cp:keywords/>
  <dcterms:created xsi:type="dcterms:W3CDTF">2026-07-29T18:58:49Z</dcterms:created>
  <dcterms:modified xsi:type="dcterms:W3CDTF">2026-07-29T18:58:49Z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