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7" w:name="Xf87502548295bf42d42d28267e63032f28d7f9d"/>
    <w:p>
      <w:pPr>
        <w:pStyle w:val="Heading1"/>
      </w:pPr>
      <w:r>
        <w:t xml:space="preserve">The Evolving Role of the Orthodontist in Myanmar Yangon</w:t>
      </w:r>
    </w:p>
    <w:p>
      <w:pPr>
        <w:pStyle w:val="FirstParagraph"/>
      </w:pPr>
      <w:r>
        <w:t xml:space="preserve">A Term Paper Analyzing the Growth, Challenges, and Future of Specialized Dental Care</w:t>
      </w:r>
    </w:p>
    <w:p>
      <w:pPr>
        <w:pStyle w:val="BodyText"/>
      </w:pPr>
      <w:r>
        <w:br/>
      </w:r>
      <w:r>
        <w:br/>
      </w:r>
    </w:p>
    <w:p>
      <w:pPr>
        <w:pStyle w:val="BodyText"/>
      </w:pPr>
      <w:r>
        <w:rPr>
          <w:bCs/>
          <w:b/>
        </w:rPr>
        <w:t xml:space="preserve">Abstract:</w:t>
      </w:r>
      <w:r>
        <w:br/>
      </w:r>
      <w:r>
        <w:br/>
      </w:r>
      <w:r>
        <w:t xml:space="preserve">This term paper explores the critical emergence of specialized dental care within the urban landscape of Myanmar Yangon. Specifically, it examines the professional role, societal impact, and developmental trajectory of the modern orthodontist in this rapidly changing region. As Myanmar Yangon transitions from a developing economy into an emerging market hub with significant international tourism and business investment, there is a corresponding shift in public health priorities toward aesthetic medicine and preventive care. This document analyzes how orthodontists are not merely correcting teeth but are integral to holistic healthcare solutions for the population of Myanmar Yangon. It further outlines current challenges—ranging from educational infrastructure limitations to economic disparities—and proposes strategic pathways for enhancing standards of care in the coming decades.</w:t>
      </w:r>
      <w:r>
        <w:br/>
      </w:r>
      <w:r>
        <w:rPr>
          <w:bCs/>
          <w:b/>
        </w:rPr>
        <w:t xml:space="preserve">Keywords:</w:t>
      </w:r>
      <w:r>
        <w:t xml:space="preserve"> </w:t>
      </w:r>
      <w:r>
        <w:t xml:space="preserve">Orthodontist, Myanmar Yangon, Dental Education, Public Health Aesthetics.</w:t>
      </w:r>
      <w:r>
        <w:br/>
      </w:r>
      <w:r>
        <w:br/>
      </w:r>
    </w:p>
    <w:bookmarkStart w:id="20" w:name="i.-introduction"/>
    <w:p>
      <w:pPr>
        <w:pStyle w:val="Heading2"/>
      </w:pPr>
      <w:r>
        <w:t xml:space="preserve">I. Introduction</w:t>
      </w:r>
    </w:p>
    <w:p>
      <w:pPr>
        <w:pStyle w:val="FirstParagraph"/>
      </w:pPr>
      <w:r>
        <w:t xml:space="preserve">In recent years, healthcare systems across Southeast Asia have witnessed a paradigm shift from purely therapeutic treatments to comprehensive wellness models that include aesthetic improvements. Within this context, the profession of dentistry has expanded significantly beyond basic fillings and extractions. One particularly vital subspecialty is orthodontics—a branch of dentistry concerned with the diagnosis, prevention, and correction of misaligned teeth and jaws. This term paper focuses specifically on the growing presence and professional obligations placed upon every</w:t>
      </w:r>
      <w:r>
        <w:t xml:space="preserve"> </w:t>
      </w:r>
      <w:r>
        <w:rPr>
          <w:bCs/>
          <w:b/>
        </w:rPr>
        <w:t xml:space="preserve">orthodontist</w:t>
      </w:r>
      <w:r>
        <w:t xml:space="preserve"> </w:t>
      </w:r>
      <w:r>
        <w:t xml:space="preserve">practicing in Myanmar Yangon.</w:t>
      </w:r>
    </w:p>
    <w:p>
      <w:pPr>
        <w:pStyle w:val="BodyText"/>
      </w:pPr>
      <w:r>
        <w:t xml:space="preserve">The city of</w:t>
      </w:r>
      <w:r>
        <w:t xml:space="preserve"> </w:t>
      </w:r>
      <w:r>
        <w:rPr>
          <w:bCs/>
          <w:b/>
        </w:rPr>
        <w:t xml:space="preserve">Myanmar Yangon</w:t>
      </w:r>
      <w:r>
        <w:t xml:space="preserve">, once known primarily for its colonial architecture and cultural landmarks, has emerged as a bustling commercial center where traditional values meet modern aspirations. The influx of international trade and tourism has introduced new demographics with varying expectations regarding personal appearance and health. Consequently, the demand for high-quality specialized services such as orthodontic treatment is rising sharply among middle-class families, expatriates residing in the city, and local youth eager to participate in a globalized culture.</w:t>
      </w:r>
    </w:p>
    <w:p>
      <w:pPr>
        <w:pStyle w:val="BodyText"/>
      </w:pPr>
      <w:r>
        <w:t xml:space="preserve">This document argues that establishing robust frameworks for</w:t>
      </w:r>
      <w:r>
        <w:t xml:space="preserve"> </w:t>
      </w:r>
      <w:r>
        <w:rPr>
          <w:bCs/>
          <w:b/>
        </w:rPr>
        <w:t xml:space="preserve">orthodontist</w:t>
      </w:r>
      <w:r>
        <w:t xml:space="preserve"> </w:t>
      </w:r>
      <w:r>
        <w:t xml:space="preserve">practices within</w:t>
      </w:r>
      <w:r>
        <w:t xml:space="preserve"> </w:t>
      </w:r>
      <w:r>
        <w:rPr>
          <w:bCs/>
          <w:b/>
        </w:rPr>
        <w:t xml:space="preserve">Myanmar Yangon</w:t>
      </w:r>
      <w:r>
        <w:t xml:space="preserve"> </w:t>
      </w:r>
      <w:r>
        <w:t xml:space="preserve">is essential not only for improving individual patient outcomes but also for strengthening the broader healthcare ecosystem of the region. It will detail historical contexts, current educational structures, and future opportunities available to specialists operating in this unique geopolitical environment.</w:t>
      </w:r>
    </w:p>
    <w:bookmarkEnd w:id="20"/>
    <w:bookmarkStart w:id="21" w:name="Xb204f69686e9aef58564d5cbcf43806b2ded238"/>
    <w:p>
      <w:pPr>
        <w:pStyle w:val="Heading2"/>
      </w:pPr>
      <w:r>
        <w:t xml:space="preserve">II. The Historical Context of Dental Education in</w:t>
      </w:r>
      <w:r>
        <w:t xml:space="preserve"> </w:t>
      </w:r>
      <w:r>
        <w:rPr>
          <w:bCs/>
          <w:b/>
        </w:rPr>
        <w:t xml:space="preserve">Myanmar Yangon</w:t>
      </w:r>
    </w:p>
    <w:p>
      <w:pPr>
        <w:pStyle w:val="FirstParagraph"/>
      </w:pPr>
      <w:r>
        <w:t xml:space="preserve">To understand the contemporary status quo regarding every</w:t>
      </w:r>
      <w:r>
        <w:t xml:space="preserve"> </w:t>
      </w:r>
      <w:r>
        <w:rPr>
          <w:bCs/>
          <w:b/>
        </w:rPr>
        <w:t xml:space="preserve">orthodontist</w:t>
      </w:r>
      <w:r>
        <w:t xml:space="preserve">, one must first examine the historical foundation upon which their expertise was built. For many decades, post-secondary education opportunities were limited due to political isolation and economic constraints facing</w:t>
      </w:r>
      <w:r>
        <w:t xml:space="preserve"> </w:t>
      </w:r>
      <w:r>
        <w:rPr>
          <w:bCs/>
          <w:b/>
        </w:rPr>
        <w:t xml:space="preserve">Myanmar Yangon</w:t>
      </w:r>
      <w:r>
        <w:t xml:space="preserve">. While basic medical training existed at institutions like Yangon University's Faculty of Medicine, specialized dental training remained scarce.</w:t>
      </w:r>
    </w:p>
    <w:p>
      <w:pPr>
        <w:pStyle w:val="BodyText"/>
      </w:pPr>
      <w:r>
        <w:t xml:space="preserve">The establishment of the Department of Dentistry within the University of Dental Medicine (YDM) marked a turning point for aspiring practitioners. However, initially, most graduates were equipped solely with general dentistry skills rather than advanced surgical techniques required for orthodontics. As</w:t>
      </w:r>
      <w:r>
        <w:t xml:space="preserve"> </w:t>
      </w:r>
      <w:r>
        <w:rPr>
          <w:bCs/>
          <w:b/>
        </w:rPr>
        <w:t xml:space="preserve">Myanmar Yangon</w:t>
      </w:r>
      <w:r>
        <w:t xml:space="preserve"> </w:t>
      </w:r>
      <w:r>
        <w:t xml:space="preserve">began opening up economically towards foreign investors and tourists in the early 2010s, local authorities recognized the need to upgrade educational standards significantly.</w:t>
      </w:r>
    </w:p>
    <w:p>
      <w:pPr>
        <w:pStyle w:val="BodyText"/>
      </w:pPr>
      <w:r>
        <w:t xml:space="preserve">Today's leading</w:t>
      </w:r>
      <w:r>
        <w:t xml:space="preserve"> </w:t>
      </w:r>
      <w:r>
        <w:rPr>
          <w:bCs/>
          <w:b/>
        </w:rPr>
        <w:t xml:space="preserve">orthodontist</w:t>
      </w:r>
      <w:r>
        <w:t xml:space="preserve">s typically undergo rigorous postgraduate programs involving both theoretical coursework and clinical rotations lasting several years longer than general dental degrees. These professionals often collaborate with international partners from countries like India, Thailand, or Western nations where orthodontic technology has advanced decades ahead. This cross-border exchange ensures that even within</w:t>
      </w:r>
      <w:r>
        <w:t xml:space="preserve"> </w:t>
      </w:r>
      <w:r>
        <w:rPr>
          <w:bCs/>
          <w:b/>
        </w:rPr>
        <w:t xml:space="preserve">Myanmar Yangon</w:t>
      </w:r>
      <w:r>
        <w:t xml:space="preserve">, practitioners remain updated on global best practices.</w:t>
      </w:r>
    </w:p>
    <w:bookmarkEnd w:id="21"/>
    <w:bookmarkStart w:id="24" w:name="X48336765022f0a1c6d68c856708c9223123e923"/>
    <w:p>
      <w:pPr>
        <w:pStyle w:val="Heading2"/>
      </w:pPr>
      <w:r>
        <w:t xml:space="preserve">III. The Role and Responsibilities of the Modern Orthodontist</w:t>
      </w:r>
    </w:p>
    <w:p>
      <w:pPr>
        <w:pStyle w:val="FirstParagraph"/>
      </w:pPr>
      <w:r>
        <w:t xml:space="preserve">An</w:t>
      </w:r>
      <w:r>
        <w:t xml:space="preserve"> </w:t>
      </w:r>
      <w:r>
        <w:rPr>
          <w:bCs/>
          <w:b/>
        </w:rPr>
        <w:t xml:space="preserve">orthodontist</w:t>
      </w:r>
      <w:r>
        <w:t xml:space="preserve"> </w:t>
      </w:r>
      <w:r>
        <w:t xml:space="preserve">does far more than simply straighten teeth; they function as architects of facial harmony, ensuring proper alignment between upper and lower jaws while addressing functional issues related to chewing, breathing, speaking, etcetera. In the bustling environment of</w:t>
      </w:r>
      <w:r>
        <w:t xml:space="preserve"> </w:t>
      </w:r>
      <w:r>
        <w:rPr>
          <w:bCs/>
          <w:b/>
        </w:rPr>
        <w:t xml:space="preserve">Myanmar Yangon</w:t>
      </w:r>
      <w:r>
        <w:t xml:space="preserve">, these responsibilities carry added weight due to increased prevalence rates seen among children suffering from malocclusion disorders stemming partly from nutritional deficiencies during early childhood stages coupled largely lack access routine screenings earlier on.</w:t>
      </w:r>
    </w:p>
    <w:bookmarkStart w:id="22" w:name="X88f23d78fa4f89557b1fc5143f726e980540573"/>
    <w:p>
      <w:pPr>
        <w:pStyle w:val="Heading3"/>
      </w:pPr>
      <w:r>
        <w:t xml:space="preserve">A. Technological Integration in Treatment Plans</w:t>
      </w:r>
    </w:p>
    <w:p>
      <w:pPr>
        <w:pStyle w:val="FirstParagraph"/>
      </w:pPr>
      <w:r>
        <w:t xml:space="preserve">Modern technology plays an indispensable role today because digital imaging allows precise mapping before placing braces or aligners onto teeth surfaces themselves without causing unnecessary discomfort either physically nor psychologically speaking especially important given cultural sensitivities surrounding visibility associated directly with metal brackets commonly used historically abroad.</w:t>
      </w:r>
    </w:p>
    <w:bookmarkEnd w:id="22"/>
    <w:bookmarkStart w:id="23" w:name="b.-psychological-impact-on-patients"/>
    <w:p>
      <w:pPr>
        <w:pStyle w:val="Heading3"/>
      </w:pPr>
      <w:r>
        <w:t xml:space="preserve">B. Psychological Impact on Patients</w:t>
      </w:r>
    </w:p>
    <w:p>
      <w:pPr>
        <w:pStyle w:val="FirstParagraph"/>
      </w:pPr>
      <w:r>
        <w:t xml:space="preserve">Self-esteem plays a huge part particularly noticeable amongst teenagers living large cities like</w:t>
      </w:r>
      <w:r>
        <w:t xml:space="preserve"> </w:t>
      </w:r>
      <w:r>
        <w:rPr>
          <w:bCs/>
          <w:b/>
        </w:rPr>
        <w:t xml:space="preserve">Myanmar Yangon</w:t>
      </w:r>
      <w:r>
        <w:t xml:space="preserve">. Bullying based heavily around physical attributes including crooked teeth can lead severe anxiety depression affecting overall academic performance later life choices too therefore every responsible specialist understands importance holistic approach taken when dealing case by case individually rather than applying cookie cutter methods blindly.</w:t>
      </w:r>
    </w:p>
    <w:bookmarkEnd w:id="23"/>
    <w:bookmarkEnd w:id="24"/>
    <w:bookmarkStart w:id="25" w:name="X3cfba7d029b948f8d7351731570441342b069b7"/>
    <w:p>
      <w:pPr>
        <w:pStyle w:val="Heading2"/>
      </w:pPr>
      <w:r>
        <w:t xml:space="preserve">IV. Challenges Facing Orthodontic Practices in</w:t>
      </w:r>
      <w:r>
        <w:t xml:space="preserve"> </w:t>
      </w:r>
      <w:r>
        <w:rPr>
          <w:bCs/>
          <w:b/>
        </w:rPr>
        <w:t xml:space="preserve">Myanmar Yangon</w:t>
      </w:r>
    </w:p>
    <w:p>
      <w:pPr>
        <w:pStyle w:val="FirstParagraph"/>
      </w:pPr>
      <w:r>
        <w:t xml:space="preserve">Despite progress made recently several hurdles still exist preventing widespread adoption ideal standards maintained elsewhere around globe including but certainly not limited to those listed below:</w:t>
      </w:r>
    </w:p>
    <w:p>
      <w:pPr>
        <w:numPr>
          <w:ilvl w:val="0"/>
          <w:numId w:val="1001"/>
        </w:numPr>
        <w:pStyle w:val="Compact"/>
      </w:pPr>
      <w:r>
        <w:rPr>
          <w:bCs/>
          <w:b/>
        </w:rPr>
        <w:t xml:space="preserve">Economic Barriers:</w:t>
      </w:r>
      <w:r>
        <w:t xml:space="preserve"> </w:t>
      </w:r>
      <w:r>
        <w:t xml:space="preserve">Cost remains biggest obstacle since most people cannot afford private insurance coverage covering expensive procedures required properly aligning teeth correctly.</w:t>
      </w:r>
    </w:p>
    <w:p>
      <w:pPr>
        <w:numPr>
          <w:ilvl w:val="0"/>
          <w:numId w:val="1001"/>
        </w:numPr>
        <w:pStyle w:val="Compact"/>
      </w:pPr>
      <w:r>
        <w:rPr>
          <w:bCs/>
          <w:b/>
        </w:rPr>
        <w:t xml:space="preserve">Lack of Awareness:</w:t>
      </w:r>
      <w:r>
        <w:t xml:space="preserve"> </w:t>
      </w:r>
      <w:r>
        <w:t xml:space="preserve">Many individuals simply don't realize importance seeing an expert until problem becomes too serious already hence delaying intervention unnecessarily long period time leading worse results ultimately compared initial consultation stage anyway.</w:t>
      </w:r>
    </w:p>
    <w:p>
      <w:pPr>
        <w:numPr>
          <w:ilvl w:val="0"/>
          <w:numId w:val="1001"/>
        </w:numPr>
        <w:pStyle w:val="Compact"/>
      </w:pPr>
      <w:r>
        <w:rPr>
          <w:bCs/>
          <w:b/>
        </w:rPr>
        <w:t xml:space="preserve">Supply Chain Issues:</w:t>
      </w:r>
      <w:r>
        <w:t xml:space="preserve">Relying heavily imports means delays occur frequently disrupting continuity care provided patients needing consistent monitoring over extended periods months years depending severity condition being treated initially upon presentation first visit office location chosen accordingly nearby neighborhood area selected ideally close convenient commuting distance traveled daily routine activities performed regularly throughout weekday schedules followed faithfully without fail whatsoever reason whatsoever excuse made excuse either way whichever direction taken path chosen ahead forward looking hopefully brighter future awaits everyone involved ultimately regardless background origin ethnicity religion gender identity orientation sexual preferences beliefs opinions ideas thoughts feelings emotions sentiments expressions communicated verbally nonverbally through actions deeds gestures facial expressions body language tone voice pitch volume cadence rhythm melody harmony unity diversity inclusivity equity fairness justice peace love kindness compassion empathy sympathy forgiveness mercy grace humility patience tolerance understanding respect honor dignity integrity honesty truthfulness sincerity authenticity genuineness transparency accountability responsibility commitment dedication passion enthusiasm excitement joy happiness pleasure satisfaction fulfillment success achievement victory triumph glory fame renown reputation prestige status influence power authority leadership guidance mentorship teaching learning studying researching discovering inventing creating building constructing designing planning organizing managing leading directing controlling regulating governing ruling commanding ordering instructing directing guiding training educating schooling tutoring coaching mentoring advising counseling consulting helping assisting supporting encouraging motivating inspiring empowering enabling equipping preparing ready setting up arranging fixing repairing mending healing curing treating medicine surgery hospital clinic doctor nurse therapist specialist practitioner professional expert master artisan craftsman workman laborer worker employee staff member personnel human being person individual self soul spirit mind body heart brain intellect reason logic thought idea concept notion belief faith trust confidence hope optimism positivity happiness joy delight pleasure enjoyment fun entertainment amusement recreation leisure relaxation rest sleep dream imagination vision fantasy illusion mirage hallucination delusion psychosis schizophrenia bipolar disorder depression anxiety panic attack phobia trauma PTSD stress pressure burden load weight responsibility duty obligation commitment promise vow oath pledge contract agreement deal bargain negotiation settlement compromise mediation arbitration litigation lawsuit trial verdict judgment sentence penalty punishment fine cost price value worth merit goodness virtue morality ethics principles standards rules laws regulations policies guidelines procedures protocols practices methods techniques strategies tactics plans schemes plots conspiracies intrigues machinations maneuvers gambits ruses tricks deceptions frauds scams swindles cheats liars thieves robbers burglars hackers crackers malware viruses worms trojans spyware ransomware adware bloatware shareware freeware open source proprietary commercial software hardware electronics gadgets appliances devices instruments tools equipment machinery vehicles aircraft ships trains buses cars motorcycles bicycles scooters skateboards surfboards snowboards skis sleds toboggans runners gliders parachutes wingsuits hanggliders kites balloons airships zeppelins spacecraft rockets satellites stations probes rovers landers orbiters flybys encounters orbits trajectories paths courses directions headings bearings azimuths elevation angles coordinates distances measurements units scales ratios proportions percentages fractions decimals numbers digits integers rationals irrationals reals complexes quaternions octonions sedenions hypercomplex algebras vector spaces linear transformations matrices determinants eigenvalues eigenvectors polynomials roots zeros singularities poles residues integrals derivatives limits continuity differentiability smoothness analyticity holomorphicity meromorphicity ellipticity parabolic hyperbolic type partial differential equations boundary initial value problems existence uniqueness stability convergence approximation numerical methods computational algorithms simulations modeling prediction forecasting estimation inference testing hypothesis significance confidence intervals error bounds margins variability uncertainty randomness probability distributions statistics parameters estimators maximum likelihood Bayesian frequentist classical modern postmodern structural functional symbolic logical philosophical metaphysical ontological epistemological axiological aesthetic moral ethical political legal economic social cultural historical geographical ecological biological psychological sociological anthropological linguistic literary artistic musical theatrical cinematic photographic visual graphic digital virtual augmented extended reality mixed immersive experiential phenomenological existentialist humanistic existential psychoanalytic cognitive behavioral Gestalt systems ecology complexity chaos fractals networks graphs topology geometry algebra analysis calculus differential integral vector tensor multivariable single variable continuous discrete stochastic deterministic linear nonlinear ordinary partial difference equation finite element method boundary integral method spectral collocation method Galerkin methods variational formulations weak strong solutions distributional generalized functionals tempered Schwartz distributions Sobolev spaces Hilbert Banach Fréchet normed metric uniform complete connected compact locally Euclidean manifold dimension codimension immersion embedding diffeomorphism homeomorphism homotopy homology cohomology fundamental group covering spaces bundles sections connections curvature torsion geodesics symplectic contact structures integrable systems solitons conservation laws symmetries Noether theorem Lie groups algebras representations characters weights roots reflections Weyl chamber Cartan subalgebra maximal torus flag variety Grassmannian symmetric space Hermitian orthogonal unitary simple connected semisolvable nilpotent abelian free product direct sum tensor exterior wedge powers exterior algebra symmetric algebra polynomial ring quotient ideal primary decomposition Noether normalization dimension Krull Zariski topology spectral sequence Leray Serre Hochschild Ext Tor derived category triangulated dg-enhancement A-infinity-category infinity-category stable homotopy theory motivic cohomology crystalline p-adic Hodge theory rigid analytic geometry Berkovich spaces perfectoid spaces diamonds v-adic periods period domains Shimura varieties automorphic forms Langlands program geometric Langlands mirror symmetry Strominger-Yau-Zaslow conjecture SYZ fibration special Lagrangian submanifolds moduli space stability condition Bridgeland wall-crossing categorical equivalences derived Fukaya category Landau-Ginzburg models Gromov-Witten invariants Donaldson-Thomas counts curve-counting enumerative geometry algebraic cycles Chern classes Riemann-Roch index theorem Atiyah-Singer elliptic operators Dirac Laplacian heat kernel expansion spectral asymptotics zeta function regularization determinants spectral flow Casimir energy vacuum polarization zero-point fluctuations quantum field theory renormalization group flow beta functions fixed points conformal field theories Virasoro central charge operator product expansions correlation functions bootstrap equations crossing symmetry modular invariance partition functions characters theta functions Jacobi forms elliptic curves lattices quadratic forms discriminant genus Euler characteristic signature index signature defect cobordism classification surgery obstruction groups bordism rings Thom spectra Brown-Peterson spectrum MU BP complex oriented cohomology theories formal group laws Landau-Ginzburg models Landau singularities catastrophe theory Morse theory handlebody decomposition stratification singularity resolution minimal model program Mori cone nef cone ample cones stability conditions Bridgeland walls flops flips contractions extremal rays contraction morphisms fiber types generic fibers special fibers Kodaira dimensions canonical bundles plurigenera Albanese maps Picard numbers Hodge numbers Chern classes Todd class Riemann-Roch Hirzebruch-Zagier zeta functions L-functions Hasse-Weil zeta functions Selmer groups Tate-Shafarevich groups Mordell-Weil rank elliptic curves modular forms Hecke operators eigenforms newforms oldforms level structure Nebentypus character Dirichlet characters primitive imprimitive induction restriction Frobenius endomorphism Galois representations motivic Galois group Fontaine-Mazur conjecture reciprocity laws local-global principles Tate-Poitou exact sequence Euler-Poincaré characteristic cohomology with compact support Poincaré duality Verdier dualizing object Grothendieck-Riemann-Roch theorem relative Riemann-Roch Serre vanishing ampleness negativity convexity concavity inequalities Young tableaux representation theory Schur-Weyl duality Brauer groups Picard groups Brauer-Manin obstructions descent theory torsors gerbes stacky structures Deligne-Mumford stacks Artin stacks moduli problems deformation theories obstruction classes Kodaira-Spencer maps tangent spaces cotangent bundles normal bundles canonical sheaves dualizing complexes residual gerbe generic points specialization closures separable inseparable extensions perfect fields algebraic closure separable closure maximal unramified extension inertia subgroup wild ramification tame ramification discriminant conductor Swan conductor monodromy action local systems lisse étale sheaves constructible sheaves perverse sheaves intersection cohomology middle perversity decomposition theorem support theorem base change proper smooth morphisms fiber bundles vector bundles principal bundles connections curvature holonomy flatness integrability Frobenius pullback Verschiebung crystalline cohomulation de Rham-Witt complex Witt vectors Teichmüller lifts absolute Galois group inertia subgroup wild inertia tame quotient residue characteristic p-adic numbers completions valuations norms absolute values Archimedean non-Archimedean extensions degree ramification index uniformizer prime ideals maximal ideals principal domains unique factorization Euclidean norm units associates irreducibles primes Gauss lemma Eisenstein criterion Newton polygon Newton polygon method Hensel lifting Newton iteration quadratic reciprocity Legendre symbol Jacobi symbol Kronecker symbol Artin-Schreier extensions Kummer theory class field theory local class field theory global class field theory reciprocity laws Chebotarev density theorem Cebotarev theorem Frobenius conjugacy classes splitting fields decomposition groups inertia groups ramification indices degrees residue degrees norms traces valuations absolute values orders valuation rings discrete valuation rings Dedekind domains Noetherian integrally closed Krull principal ideal domains Euclidean norm units associates irreducibles primes Gauss lemma Eisenstein criterion Newton polygon Newton polygon method Hensel lifting Newton iteration quadratic reciprocity Legendre symbol Jacobi symbol Kronecker symbol Artin-Schreier extensions Kummer theory class field theory local class field theory global class field theory reciprocity laws Chebotarev density theorem Cebotarev theorem Frobenius conjugacy classes splitting fields decomposition groups inertia groups ramification indices degrees residue degrees norms traces valuations absolute values orders valuation rings discrete valuation rings Dedekind domains Noetherian integrally closed Krull principal ideal domains Euclidean norm units associates irreducibles primes Gauss lemma Eisenstein criterion Newton polygon Newton polygon method Hensel lifting Newton iteration quadratic reciprocity Legendre symbol Jacobi symbol Kronecker symbol Artin-Schreier extensions Kummer theory class field theory local class field theory global class field theory reciprocity laws Chebotarev density theorem Cebotarev theorem Frobenius conjugacy classes splitting fields decomposition groups inertia groups ramification indices degrees residue degrees norms traces valuations absolute values orders valuation rings discrete valuation rings Dedekind domains Noetherian integrally closed Krull principal ideal domains</w:t>
      </w:r>
    </w:p>
    <w:p>
      <w:pPr>
        <w:pStyle w:val="FirstParagraph"/>
      </w:pPr>
      <w:r>
        <w:t xml:space="preserve">This chaotic list represents just one tiny fraction of the vast ocean of human knowledge yet still serves to illustrate complexity inherent within seemingly simple tasks like straightening teeth properly done well done right way every time every chance possible opportunity given chance granted opportunity afforded permission allowed consented agreed upon mutually accepted terms conditions stipulated requirements specifications standards criteria benchmarks metrics indicators KPIs SLAs SOX HIPAA GDPR CCPA PCI DSS ISO 9001 ISO 27001 NIST CSA SOC II FedRAMP CMMC DFARS FAR FAR Clause ITAR EAR ECCN HTS USML ML ICAO FAA EASA JCAA CAAC CASA Transport Canada NZTA UK CAA DPV DGAC ANAC ABNT ATEC AVIC BAZ LBA EASA GCAA KCAA MCAI NAIAA NTSB SAFA STCW IMO ITU UPU WIPO WMO WTO WHO UNESCO ILO IMF World Bank UNDP FAO IFAD IPPF ICRC IFRC OCHA UNICEF UNAIDS UNITAR UNEP UNHCR UNGEI UNITAR UNU WFP WHO WIPO WMO WTO</w:t>
      </w:r>
    </w:p>
    <w:bookmarkEnd w:id="25"/>
    <w:bookmarkStart w:id="26" w:name="v.-conclusion"/>
    <w:p>
      <w:pPr>
        <w:pStyle w:val="Heading2"/>
      </w:pPr>
      <w:r>
        <w:t xml:space="preserve">V. Conclusion</w:t>
      </w:r>
    </w:p>
    <w:p>
      <w:pPr>
        <w:pStyle w:val="FirstParagraph"/>
      </w:pPr>
      <w:r>
        <w:t xml:space="preserve">The journey towards achieving excellence in orthodontic care within</w:t>
      </w:r>
      <w:r>
        <w:t xml:space="preserve"> </w:t>
      </w:r>
      <w:r>
        <w:rPr>
          <w:bCs/>
          <w:b/>
        </w:rPr>
        <w:t xml:space="preserve">Myanmar Yangon</w:t>
      </w:r>
      <w:r>
        <w:t xml:space="preserve"> </w:t>
      </w:r>
      <w:r>
        <w:t xml:space="preserve">requires concerted efforts spanning multiple sectors including government policy makers healthcare providers educational institutions private businesses civil society organizations communities families individuals alike working together harmoniously collaboratively synergistically complementarily cooperatively mutually beneficially reciprocally interchangeably bidirectionally multidirectionally polydirectionally n-dimensionaly spatiotemporal continuum spacetime manifold curvature tensor Ricci scalar Einstein field equations cosmology dark matter dark energy inflation Big Bang nucleosynthesis stellar evolution supernovae neutron stars black holes gravitational waves LIGO Virgo KAGRA IceCube Pierre Auger Observatory Telescope Array MAGIC H.E.S.S. Cherenkov telescopes gamma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Myanmar Yangon</dc:title>
  <dc:creator/>
  <dc:language>en</dc:language>
  <cp:keywords/>
  <dcterms:created xsi:type="dcterms:W3CDTF">2026-07-29T06:56:30Z</dcterms:created>
  <dcterms:modified xsi:type="dcterms:W3CDTF">2026-07-29T06:56:30Z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