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Australia</w:t>
      </w:r>
      <w:r>
        <w:t xml:space="preserve"> </w:t>
      </w:r>
      <w:r>
        <w:t xml:space="preserve">Brisbane</w:t>
      </w:r>
    </w:p>
    <w:bookmarkStart w:id="20" w:name="X916aa70df99669e0f43b91abe65914f2195a83f"/>
    <w:p>
      <w:pPr>
        <w:pStyle w:val="Heading1"/>
      </w:pPr>
      <w:r>
        <w:t xml:space="preserve">The Role, Responsibilities, and Evolution of the Professor in Australia Brisbane</w:t>
      </w:r>
    </w:p>
    <w:p>
      <w:pPr>
        <w:pStyle w:val="FirstParagraph"/>
      </w:pPr>
      <w:r>
        <w:rPr>
          <w:bCs/>
          <w:b/>
        </w:rPr>
        <w:t xml:space="preserve">A Term Paper Submitted in Partial Fulfillment of Academic Requirements</w:t>
      </w:r>
    </w:p>
    <w:p>
      <w:pPr>
        <w:pStyle w:val="BodyText"/>
      </w:pPr>
      <w:r>
        <w:rPr>
          <w:iCs/>
          <w:i/>
        </w:rPr>
        <w:t xml:space="preserve">Date: October 26, 2023</w:t>
      </w:r>
    </w:p>
    <w:bookmarkEnd w:id="20"/>
    <w:bookmarkStart w:id="21" w:name="i.-introduction"/>
    <w:p>
      <w:pPr>
        <w:pStyle w:val="Heading1"/>
      </w:pPr>
      <w:r>
        <w:t xml:space="preserve">I. Introduction</w:t>
      </w:r>
    </w:p>
    <w:p>
      <w:pPr>
        <w:pStyle w:val="FirstParagraph"/>
      </w:pPr>
      <w:r>
        <w:t xml:space="preserve">The academic landscape of higher education is a complex ecosystem governed by distinct hierarchies, pedagogical responsibilities, and research imperatives. Central to this structure is the figure of the Professor, an individual who serves as both a scholar and an educator. In the context of</w:t>
      </w:r>
      <w:r>
        <w:t xml:space="preserve"> </w:t>
      </w:r>
      <w:r>
        <w:rPr>
          <w:bCs/>
          <w:b/>
        </w:rPr>
        <w:t xml:space="preserve">Australia Brisbane</w:t>
      </w:r>
      <w:r>
        <w:t xml:space="preserve">, this role takes on specific cultural and institutional nuances that reflect the broader Australian higher education system while addressing local community needs. This term paper aims to explore the multifaceted role of a</w:t>
      </w:r>
      <w:r>
        <w:t xml:space="preserve"> </w:t>
      </w:r>
      <w:r>
        <w:rPr>
          <w:bCs/>
          <w:b/>
        </w:rPr>
        <w:t xml:space="preserve">Professor</w:t>
      </w:r>
      <w:r>
        <w:t xml:space="preserve"> </w:t>
      </w:r>
      <w:r>
        <w:t xml:space="preserve">within universities located in</w:t>
      </w:r>
      <w:r>
        <w:t xml:space="preserve"> </w:t>
      </w:r>
      <w:r>
        <w:rPr>
          <w:bCs/>
          <w:b/>
        </w:rPr>
        <w:t xml:space="preserve">Australia Brisbane</w:t>
      </w:r>
      <w:r>
        <w:t xml:space="preserve">, examining their contributions to research, teaching, and community engagement. Furthermore, it will analyze how geographical location influences academic practice and how the title of Professor represents not just seniority but a specific set of expectations regarding intellectual leadership.</w:t>
      </w:r>
    </w:p>
    <w:p>
      <w:pPr>
        <w:pStyle w:val="BodyText"/>
      </w:pPr>
      <w:r>
        <w:t xml:space="preserve">The city of</w:t>
      </w:r>
      <w:r>
        <w:t xml:space="preserve"> </w:t>
      </w:r>
      <w:r>
        <w:rPr>
          <w:bCs/>
          <w:b/>
        </w:rPr>
        <w:t xml:space="preserve">Australia Brisbane</w:t>
      </w:r>
      <w:r>
        <w:t xml:space="preserve">, serving as the capital of Queensland, has emerged as a significant hub for tertiary education in Australia. Institutions such as The University of Queensland and QUT (Queensland University of Technology) anchor this academic environment. Understanding the role of a professor here requires looking beyond generic job descriptions to consider how local industries, indigenous reconciliation efforts, and global research collaborations shape daily professional life.</w:t>
      </w:r>
    </w:p>
    <w:bookmarkEnd w:id="21"/>
    <w:bookmarkStart w:id="22" w:name="Xe684a1bf646e0b50a0207c18065f9d6b8d7e6ee"/>
    <w:p>
      <w:pPr>
        <w:pStyle w:val="Heading1"/>
      </w:pPr>
      <w:r>
        <w:t xml:space="preserve">II. The Hierarchy and Definition of "Professor" in the Australian Context</w:t>
      </w:r>
    </w:p>
    <w:p>
      <w:pPr>
        <w:pStyle w:val="FirstParagraph"/>
      </w:pPr>
      <w:r>
        <w:t xml:space="preserve">In many international jurisdictions, the term "Professor" may be used interchangeably with senior lecturer or assistant professor. However, in Australia, including within academic institutions situated in</w:t>
      </w:r>
      <w:r>
        <w:t xml:space="preserve"> </w:t>
      </w:r>
      <w:r>
        <w:rPr>
          <w:bCs/>
          <w:b/>
        </w:rPr>
        <w:t xml:space="preserve">Australia Brisbane</w:t>
      </w:r>
      <w:r>
        <w:t xml:space="preserve">, the title is strictly regulated. A Professor holds a Chair or an Endowed Chair position and represents the highest rank in the academic hierarchy. This distinction is critical for understanding the weight of responsibility carried by these individuals.</w:t>
      </w:r>
    </w:p>
    <w:p>
      <w:pPr>
        <w:pStyle w:val="BodyText"/>
      </w:pPr>
      <w:r>
        <w:t xml:space="preserve">To achieve this rank, an individual must demonstrate a sustained record of high-impact research, significant contributions to their field through publications and conferences, and effective teaching at both undergraduate and postgraduate levels. In</w:t>
      </w:r>
      <w:r>
        <w:t xml:space="preserve"> </w:t>
      </w:r>
      <w:r>
        <w:rPr>
          <w:bCs/>
          <w:b/>
        </w:rPr>
        <w:t xml:space="preserve">Australia Brisbane</w:t>
      </w:r>
      <w:r>
        <w:t xml:space="preserve">, where competition for research grants is fierce due to funding bodies like the Australian Research Council (ARC), maintaining this status requires constant innovation. The professor is not merely a teacher but a principal investigator who leads large-scale research teams, often collaborating with international peers.</w:t>
      </w:r>
    </w:p>
    <w:bookmarkEnd w:id="22"/>
    <w:bookmarkStart w:id="23" w:name="Xb2a5d6c1ada67972eb19a0e0c5016f252bd7ae1"/>
    <w:p>
      <w:pPr>
        <w:pStyle w:val="Heading1"/>
      </w:pPr>
      <w:r>
        <w:t xml:space="preserve">III. Research Excellence and Global Collaboration</w:t>
      </w:r>
    </w:p>
    <w:p>
      <w:pPr>
        <w:pStyle w:val="FirstParagraph"/>
      </w:pPr>
      <w:r>
        <w:t xml:space="preserve">The primary duty of a professor in the modern university system is to generate new knowledge. In the context of</w:t>
      </w:r>
      <w:r>
        <w:t xml:space="preserve"> </w:t>
      </w:r>
      <w:r>
        <w:rPr>
          <w:bCs/>
          <w:b/>
        </w:rPr>
        <w:t xml:space="preserve">Australia Brisbane</w:t>
      </w:r>
      <w:r>
        <w:t xml:space="preserve">, this involves addressing regionally relevant issues with global implications. For instance, professors at universities in this region often focus on marine biology given Brisbane’s proximity to the Great Barrier Reef, or agricultural science due to Queensland’s status as an agricultural powerhouse.</w:t>
      </w:r>
    </w:p>
    <w:p>
      <w:pPr>
        <w:pStyle w:val="BodyText"/>
      </w:pPr>
      <w:r>
        <w:t xml:space="preserve">A professor acts as a bridge between local discovery and global application. They are expected to publish in high-impact journals and secure competitive funding. This role has evolved significantly over the past decade, with increased pressure for interdisciplinary work. A professor in</w:t>
      </w:r>
      <w:r>
        <w:t xml:space="preserve"> </w:t>
      </w:r>
      <w:r>
        <w:rPr>
          <w:bCs/>
          <w:b/>
        </w:rPr>
        <w:t xml:space="preserve">Australia Brisbane</w:t>
      </w:r>
      <w:r>
        <w:t xml:space="preserve"> </w:t>
      </w:r>
      <w:r>
        <w:t xml:space="preserve">might collaborate with medical researchers from one university and engineering experts from another to tackle complex health challenges post-pandemic. The ability to navigate these cross-institutional partnerships is a key competency expected of senior academics.</w:t>
      </w:r>
    </w:p>
    <w:bookmarkEnd w:id="23"/>
    <w:bookmarkStart w:id="24" w:name="X8e34b54eefe4f8ce214b650ca5d0f60dc90ab75"/>
    <w:p>
      <w:pPr>
        <w:pStyle w:val="Heading1"/>
      </w:pPr>
      <w:r>
        <w:t xml:space="preserve">IV. Pedagogical Responsibilities and Mentorship</w:t>
      </w:r>
    </w:p>
    <w:p>
      <w:pPr>
        <w:pStyle w:val="FirstParagraph"/>
      </w:pPr>
      <w:r>
        <w:t xml:space="preserve">While research often takes center stage in promotion criteria, the teaching mandate of a professor remains fundamental. In universities across</w:t>
      </w:r>
      <w:r>
        <w:t xml:space="preserve"> </w:t>
      </w:r>
      <w:r>
        <w:rPr>
          <w:bCs/>
          <w:b/>
        </w:rPr>
        <w:t xml:space="preserve">Australia Brisbane</w:t>
      </w:r>
      <w:r>
        <w:t xml:space="preserve">, professors are expected to oversee curriculum development rather than necessarily teaching every introductory class themselves. However, they play a crucial role in mentoring PhD candidates and early-career researchers.</w:t>
      </w:r>
    </w:p>
    <w:p>
      <w:pPr>
        <w:pStyle w:val="BodyText"/>
      </w:pPr>
      <w:r>
        <w:t xml:space="preserve">This mentorship extends beyond academic supervision. Professors help shape the ethical and professional standards of the next generation of scholars. In</w:t>
      </w:r>
      <w:r>
        <w:t xml:space="preserve"> </w:t>
      </w:r>
      <w:r>
        <w:rPr>
          <w:bCs/>
          <w:b/>
        </w:rPr>
        <w:t xml:space="preserve">Australia Brisbane</w:t>
      </w:r>
      <w:r>
        <w:t xml:space="preserve">, there is a growing emphasis on inclusive pedagogy that respects cultural diversity, including engagement with Aboriginal and Torres Strait Islander perspectives. A professor must ensure that their teaching practices are equitable and supportive, fostering an environment where students from diverse backgrounds can thrive.</w:t>
      </w:r>
    </w:p>
    <w:bookmarkEnd w:id="24"/>
    <w:bookmarkStart w:id="25" w:name="X0662be10fc2f220f91260e236316ddeebcfa8bf"/>
    <w:p>
      <w:pPr>
        <w:pStyle w:val="Heading1"/>
      </w:pPr>
      <w:r>
        <w:t xml:space="preserve">V. Community Engagement and Industry Partnership</w:t>
      </w:r>
    </w:p>
    <w:p>
      <w:pPr>
        <w:pStyle w:val="FirstParagraph"/>
      </w:pPr>
      <w:r>
        <w:t xml:space="preserve">A unique aspect of the Australian university model is the strong emphasis on industry linkage and community service. Universities in</w:t>
      </w:r>
      <w:r>
        <w:t xml:space="preserve"> </w:t>
      </w:r>
      <w:r>
        <w:rPr>
          <w:bCs/>
          <w:b/>
        </w:rPr>
        <w:t xml:space="preserve">Australia Brisbane</w:t>
      </w:r>
      <w:r>
        <w:t xml:space="preserve"> </w:t>
      </w:r>
      <w:r>
        <w:t xml:space="preserve">are deeply integrated into the local economy. Consequently, professors are increasingly expected to engage with external stakeholders.</w:t>
      </w:r>
    </w:p>
    <w:p>
      <w:pPr>
        <w:pStyle w:val="BodyText"/>
      </w:pPr>
      <w:r>
        <w:t xml:space="preserve">This engagement manifests in various ways: consulting for government agencies, advising non-profit organizations, or partnering with private sector companies to commercialize research outcomes. For example, a professor specializing in environmental science may work directly with Brisbane City Council on urban planning and sustainability projects. This tripartite mission of teaching, research, and community impact defines the modern role of the professor. It requires strong communication skills and the ability to translate complex academic concepts for lay audiences.</w:t>
      </w:r>
    </w:p>
    <w:bookmarkEnd w:id="25"/>
    <w:bookmarkStart w:id="26" w:name="Xba0c557e252e2f9d1e418208a50cb5b8af1162e"/>
    <w:p>
      <w:pPr>
        <w:pStyle w:val="Heading1"/>
      </w:pPr>
      <w:r>
        <w:t xml:space="preserve">VI. Challenges Facing Professors in Australia Brisbane</w:t>
      </w:r>
    </w:p>
    <w:p>
      <w:pPr>
        <w:pStyle w:val="FirstParagraph"/>
      </w:pPr>
      <w:r>
        <w:t xml:space="preserve">Despite their high status, professors face numerous challenges. The administrative burden has increased significantly, with compliance requirements and reporting mechanisms consuming valuable time that could be spent on research or teaching. Additionally, the casualization of academic staff has created a stratified workforce where tenured professors like those in</w:t>
      </w:r>
      <w:r>
        <w:t xml:space="preserve"> </w:t>
      </w:r>
      <w:r>
        <w:rPr>
          <w:bCs/>
          <w:b/>
        </w:rPr>
        <w:t xml:space="preserve">Australia Brisbane</w:t>
      </w:r>
      <w:r>
        <w:t xml:space="preserve"> </w:t>
      </w:r>
      <w:r>
        <w:t xml:space="preserve">carry disproportionate responsibility for maintaining institutional stability.</w:t>
      </w:r>
    </w:p>
    <w:p>
      <w:pPr>
        <w:pStyle w:val="BodyText"/>
      </w:pPr>
      <w:r>
        <w:t xml:space="preserve">Funding instability is another persistent issue. Fluctuations in government policy can impact research grants, forcing professors to constantly adapt their strategic directions. Furthermore, the mental health crisis affecting academics due to performance-based metrics places additional strain on senior staff who must balance high expectations with personal well-being.</w:t>
      </w:r>
    </w:p>
    <w:bookmarkEnd w:id="26"/>
    <w:bookmarkStart w:id="28" w:name="vii.-conclusion"/>
    <w:p>
      <w:pPr>
        <w:pStyle w:val="Heading1"/>
      </w:pPr>
      <w:r>
        <w:t xml:space="preserve">VII. Conclusion</w:t>
      </w:r>
    </w:p>
    <w:p>
      <w:pPr>
        <w:pStyle w:val="FirstParagraph"/>
      </w:pPr>
      <w:r>
        <w:t xml:space="preserve">In conclusion, the role of a professor in</w:t>
      </w:r>
      <w:r>
        <w:t xml:space="preserve"> </w:t>
      </w:r>
      <w:r>
        <w:rPr>
          <w:bCs/>
          <w:b/>
        </w:rPr>
        <w:t xml:space="preserve">Australia Brisbane</w:t>
      </w:r>
      <w:r>
        <w:t xml:space="preserve"> </w:t>
      </w:r>
      <w:r>
        <w:t xml:space="preserve">is dynamic, demanding, and essential to the intellectual and social fabric of the region. It encompasses rigorous research leadership, dedicated mentorship of students, and active engagement with local communities and industries. The specific context of</w:t>
      </w:r>
      <w:r>
        <w:t xml:space="preserve"> </w:t>
      </w:r>
      <w:r>
        <w:rPr>
          <w:bCs/>
          <w:b/>
        </w:rPr>
        <w:t xml:space="preserve">Australia Brisbane</w:t>
      </w:r>
      <w:r>
        <w:t xml:space="preserve"> </w:t>
      </w:r>
      <w:r>
        <w:t xml:space="preserve">adds layers of regional relevance to these duties, from environmental stewardship to cultural inclusion.</w:t>
      </w:r>
    </w:p>
    <w:p>
      <w:pPr>
        <w:pStyle w:val="BodyText"/>
      </w:pPr>
      <w:r>
        <w:t xml:space="preserve">As higher education continues to evolve globally, the professor remains a pivotal figure in navigating the complexities of knowledge production and dissemination. For institutions in</w:t>
      </w:r>
      <w:r>
        <w:t xml:space="preserve"> </w:t>
      </w:r>
      <w:r>
        <w:rPr>
          <w:bCs/>
          <w:b/>
        </w:rPr>
        <w:t xml:space="preserve">Australia Brisbane</w:t>
      </w:r>
      <w:r>
        <w:t xml:space="preserve">, supporting their professors through adequate resources, reduced administrative burdens, and clear pathways for career development is crucial. By doing so, they ensure that the next generation of scholars benefits from high-quality education and that society continues to profit from innovative research solutions.</w:t>
      </w:r>
    </w:p>
    <w:bookmarkStart w:id="27" w:name="viii.-references-illustrative"/>
    <w:p>
      <w:pPr>
        <w:pStyle w:val="Heading2"/>
      </w:pPr>
      <w:r>
        <w:t xml:space="preserve">VIII. References (Illustrative)</w:t>
      </w:r>
    </w:p>
    <w:p>
      <w:pPr>
        <w:pStyle w:val="FirstParagraph"/>
      </w:pPr>
      <w:r>
        <w:rPr>
          <w:iCs/>
          <w:i/>
        </w:rPr>
        <w:t xml:space="preserve">Note: In a formal term paper submission, this section would contain full citations in APA style.</w:t>
      </w:r>
    </w:p>
    <w:p>
      <w:pPr>
        <w:numPr>
          <w:ilvl w:val="0"/>
          <w:numId w:val="1001"/>
        </w:numPr>
        <w:pStyle w:val="Compact"/>
      </w:pPr>
      <w:r>
        <w:t xml:space="preserve">Australian Government Department of Education. (2023).</w:t>
      </w:r>
      <w:r>
        <w:t xml:space="preserve"> </w:t>
      </w:r>
      <w:r>
        <w:rPr>
          <w:bCs/>
          <w:b/>
        </w:rPr>
        <w:t xml:space="preserve">National Tertiary Education Strategy</w:t>
      </w:r>
      <w:r>
        <w:t xml:space="preserve">. Canberra.</w:t>
      </w:r>
    </w:p>
    <w:p>
      <w:pPr>
        <w:numPr>
          <w:ilvl w:val="0"/>
          <w:numId w:val="1001"/>
        </w:numPr>
        <w:pStyle w:val="Compact"/>
      </w:pPr>
      <w:r>
        <w:t xml:space="preserve">The University of Queensland. (2023).</w:t>
      </w:r>
      <w:r>
        <w:t xml:space="preserve"> </w:t>
      </w:r>
      <w:r>
        <w:rPr>
          <w:bCs/>
          <w:b/>
        </w:rPr>
        <w:t xml:space="preserve">Academic Policy Manual: Professorial Rank Criteria</w:t>
      </w:r>
      <w:r>
        <w:t xml:space="preserve">. Brisbane.</w:t>
      </w:r>
    </w:p>
    <w:p>
      <w:pPr>
        <w:numPr>
          <w:ilvl w:val="0"/>
          <w:numId w:val="1001"/>
        </w:numPr>
        <w:pStyle w:val="Compact"/>
      </w:pPr>
      <w:r>
        <w:t xml:space="preserve">Teaching and Learning Commission. (2022).</w:t>
      </w:r>
      <w:r>
        <w:t xml:space="preserve"> </w:t>
      </w:r>
      <w:r>
        <w:rPr>
          <w:bCs/>
          <w:b/>
        </w:rPr>
        <w:t xml:space="preserve">Rethinking University Teaching in Australia</w:t>
      </w:r>
      <w:r>
        <w:t xml:space="preserve">. Melbourne.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Professor in Australia Brisbane</dc:title>
  <dc:creator/>
  <dc:language>en</dc:language>
  <cp:keywords/>
  <dcterms:created xsi:type="dcterms:W3CDTF">2026-07-29T07:42:01Z</dcterms:created>
  <dcterms:modified xsi:type="dcterms:W3CDTF">2026-07-29T07:42:01Z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