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Israel</w:t>
      </w:r>
      <w:r>
        <w:t xml:space="preserve"> </w:t>
      </w:r>
      <w:r>
        <w:t xml:space="preserve">Tel</w:t>
      </w:r>
      <w:r>
        <w:t xml:space="preserve"> </w:t>
      </w:r>
      <w:r>
        <w:t xml:space="preserve">Aviv</w:t>
      </w:r>
    </w:p>
    <w:bookmarkStart w:id="27" w:name="X9c59c73838a92902f1d2399afb14882b321ccb8"/>
    <w:p>
      <w:pPr>
        <w:pStyle w:val="Heading1"/>
      </w:pPr>
      <w:r>
        <w:t xml:space="preserve">The Role and Evolution of the Professor in Israel Tel Aviv</w:t>
      </w:r>
    </w:p>
    <w:p>
      <w:pPr>
        <w:pStyle w:val="FirstParagraph"/>
      </w:pPr>
      <w:r>
        <w:rPr>
          <w:bCs/>
          <w:b/>
        </w:rPr>
        <w:t xml:space="preserve">Date:</w:t>
      </w:r>
      <w:r>
        <w:t xml:space="preserve"> </w:t>
      </w:r>
      <w:r>
        <w:t xml:space="preserve">October 26, 2023</w:t>
      </w:r>
      <w:r>
        <w:br/>
      </w:r>
    </w:p>
    <w:p>
      <w:pPr>
        <w:pStyle w:val="BodyText"/>
      </w:pPr>
      <w:r>
        <w:t xml:space="preserve">Course:&gt;Higher Education Studies</w:t>
      </w:r>
      <w:r>
        <w:br/>
      </w:r>
    </w:p>
    <w:p>
      <w:pPr>
        <w:pStyle w:val="BodyText"/>
      </w:pPr>
      <w:r>
        <w:t xml:space="preserve">Status:&gt;Term Paper Submission</w:t>
      </w:r>
    </w:p>
    <w:p>
      <w:pPr>
        <w:pStyle w:val="BodyText"/>
      </w:pPr>
      <w:r>
        <w:rPr>
          <w:iCs/>
          <w:i/>
        </w:rPr>
        <w:t xml:space="preserve">This term paper explores the multifaceted role of the professor within the unique academic ecosystem of Israel Tel Aviv. It examines how historical, cultural, and geopolitical factors shape pedagogical approaches, research priorities, and administrative duties. The document argues that professors in this region are not merely educators but pivotal agents in fostering innovation and societal resilience.</w:t>
      </w:r>
    </w:p>
    <w:bookmarkStart w:id="20" w:name="i.-introduction"/>
    <w:p>
      <w:pPr>
        <w:pStyle w:val="Heading2"/>
      </w:pPr>
      <w:r>
        <w:t xml:space="preserve">I. Introduction</w:t>
      </w:r>
    </w:p>
    <w:p>
      <w:pPr>
        <w:pStyle w:val="FirstParagraph"/>
      </w:pPr>
      <w:r>
        <w:t xml:space="preserve">The landscape of higher education in the Middle East is complex, dynamic, and deeply intertwined with socio-political realities. Among the most significant hubs of academic excellence and cultural convergence is</w:t>
      </w:r>
      <w:r>
        <w:t xml:space="preserve"> </w:t>
      </w:r>
      <w:r>
        <w:rPr>
          <w:bCs/>
          <w:b/>
        </w:rPr>
        <w:t xml:space="preserve">Israel Tel Aviv</w:t>
      </w:r>
      <w:r>
        <w:t xml:space="preserve">. This metropolitan center serves as a beacon for science, technology, arts, and humanities. At the heart of this intellectual engine stands the</w:t>
      </w:r>
      <w:r>
        <w:t xml:space="preserve"> </w:t>
      </w:r>
      <w:r>
        <w:rPr>
          <w:bCs/>
          <w:b/>
        </w:rPr>
        <w:t xml:space="preserve">Professor</w:t>
      </w:r>
      <w:r>
        <w:t xml:space="preserve">, a figure who embodies both traditional academic rigor and modern innovation. This paper aims to analyze how the specific context of</w:t>
      </w:r>
      <w:r>
        <w:t xml:space="preserve"> </w:t>
      </w:r>
      <w:r>
        <w:rPr>
          <w:bCs/>
          <w:b/>
        </w:rPr>
        <w:t xml:space="preserve">Israel Tel Aviv</w:t>
      </w:r>
      <w:r>
        <w:t xml:space="preserve"> </w:t>
      </w:r>
      <w:r>
        <w:t xml:space="preserve">influences the identity, responsibilities, and impact of the professor. It posits that in this region, the title of "Professor" carries a weight that extends far beyond lecture halls, influencing national policy and global discourse.</w:t>
      </w:r>
    </w:p>
    <w:bookmarkEnd w:id="20"/>
    <w:bookmarkStart w:id="21" w:name="Xc63e8551c97a7348cb4e9cf920706735cfa0817"/>
    <w:p>
      <w:pPr>
        <w:pStyle w:val="Heading2"/>
      </w:pPr>
      <w:r>
        <w:t xml:space="preserve">II. Historical Context: From Academia to Innovation Hub</w:t>
      </w:r>
    </w:p>
    <w:p>
      <w:pPr>
        <w:pStyle w:val="FirstParagraph"/>
      </w:pPr>
      <w:r>
        <w:t xml:space="preserve">To understand the modern</w:t>
      </w:r>
      <w:r>
        <w:t xml:space="preserve"> </w:t>
      </w:r>
      <w:r>
        <w:rPr>
          <w:bCs/>
          <w:b/>
        </w:rPr>
        <w:t xml:space="preserve">Professor</w:t>
      </w:r>
      <w:r>
        <w:t xml:space="preserve">, one must look at the historical trajectory of universities in</w:t>
      </w:r>
      <w:r>
        <w:t xml:space="preserve"> </w:t>
      </w:r>
      <w:r>
        <w:rPr>
          <w:bCs/>
          <w:b/>
        </w:rPr>
        <w:t xml:space="preserve">Israel Tel Aviv</w:t>
      </w:r>
      <w:r>
        <w:t xml:space="preserve">. Institutions such as Tel Aviv University (TAU) and the Interdisciplinary Center Herzliya have evolved from traditional European models to become leaders in STEM fields. The establishment of these institutions was not just an academic endeavor but a nation-building project. Consequently, the early professors were tasked with creating knowledge systems from scratch, often adapting Western curricula to local needs.</w:t>
      </w:r>
    </w:p>
    <w:p>
      <w:pPr>
        <w:pStyle w:val="BodyText"/>
      </w:pPr>
      <w:r>
        <w:t xml:space="preserve">Over decades,</w:t>
      </w:r>
      <w:r>
        <w:t xml:space="preserve"> </w:t>
      </w:r>
      <w:r>
        <w:rPr>
          <w:bCs/>
          <w:b/>
        </w:rPr>
        <w:t xml:space="preserve">Israel Tel Aviv</w:t>
      </w:r>
      <w:r>
        <w:t xml:space="preserve"> </w:t>
      </w:r>
      <w:r>
        <w:t xml:space="preserve">transformed into a "Start-up Nation," and its universities mirrored this shift. The role of the professor expanded to include technology transfer, entrepreneurship mentoring, and industry collaboration. In this environment, the professor is no longer an isolated scholar but a node in a vast network of innovation. This evolution has made</w:t>
      </w:r>
      <w:r>
        <w:t xml:space="preserve"> </w:t>
      </w:r>
      <w:r>
        <w:rPr>
          <w:bCs/>
          <w:b/>
        </w:rPr>
        <w:t xml:space="preserve">Israel Tel Aviv</w:t>
      </w:r>
      <w:r>
        <w:t xml:space="preserve"> </w:t>
      </w:r>
      <w:r>
        <w:t xml:space="preserve">unique globally, blending deep theoretical research with practical application.</w:t>
      </w:r>
    </w:p>
    <w:bookmarkEnd w:id="21"/>
    <w:bookmarkStart w:id="22" w:name="X9bdd58e933db51c0c4aedae7a39c85dfb6eddc5"/>
    <w:p>
      <w:pPr>
        <w:pStyle w:val="Heading2"/>
      </w:pPr>
      <w:r>
        <w:t xml:space="preserve">III. Pedagogical Challenges and Cultural Dynamics</w:t>
      </w:r>
    </w:p>
    <w:p>
      <w:pPr>
        <w:pStyle w:val="FirstParagraph"/>
      </w:pPr>
      <w:r>
        <w:t xml:space="preserve">The classroom environment in</w:t>
      </w:r>
      <w:r>
        <w:t xml:space="preserve"> </w:t>
      </w:r>
      <w:r>
        <w:rPr>
          <w:bCs/>
          <w:b/>
        </w:rPr>
        <w:t xml:space="preserve">Israel Tel Aviv</w:t>
      </w:r>
      <w:r>
        <w:t xml:space="preserve">presents distinct challenges and opportunities for the</w:t>
      </w:r>
      <w:r>
        <w:t xml:space="preserve"> </w:t>
      </w:r>
      <w:r>
        <w:rPr>
          <w:bCs/>
          <w:b/>
        </w:rPr>
        <w:t xml:space="preserve">Professor</w:t>
      </w:r>
      <w:r>
        <w:t xml:space="preserve">. The student body is exceptionally diverse, comprising immigrants from the former Soviet Union, Ethiopian Jews, Arab-Israeli citizens, and international students attracted by the city's vibrant lifestyle. For a professor teaching in this region, cultural competency is as vital as subject matter expertise.</w:t>
      </w:r>
    </w:p>
    <w:p>
      <w:pPr>
        <w:pStyle w:val="BodyText"/>
      </w:pPr>
      <w:r>
        <w:rPr>
          <w:bCs/>
          <w:b/>
        </w:rPr>
        <w:t xml:space="preserve">Israel Tel Aviv</w:t>
      </w:r>
      <w:r>
        <w:t xml:space="preserve"> </w:t>
      </w:r>
      <w:r>
        <w:t xml:space="preserve">educators must navigate these diverse backgrounds to foster an inclusive learning environment. The pedagogical style often shifts from hierarchical instruction to more egalitarian, debate-driven formats. This reflects the broader Israeli cultural value of "Chutzpah" or assertive questioning. Therefore, a successful</w:t>
      </w:r>
      <w:r>
        <w:t xml:space="preserve"> </w:t>
      </w:r>
      <w:r>
        <w:rPr>
          <w:bCs/>
          <w:b/>
        </w:rPr>
        <w:t xml:space="preserve">Professor</w:t>
      </w:r>
      <w:r>
        <w:t xml:space="preserve"> </w:t>
      </w:r>
      <w:r>
        <w:t xml:space="preserve">in this context must be skilled in facilitating dialogue rather than simply delivering monologues. They act as mediators of different worldviews, helping students from disparate backgrounds find common ground through critical inquiry.</w:t>
      </w:r>
    </w:p>
    <w:bookmarkEnd w:id="22"/>
    <w:bookmarkStart w:id="23" w:name="X0165497746fa7562b0cff961cb87fde4622199c"/>
    <w:p>
      <w:pPr>
        <w:pStyle w:val="Heading2"/>
      </w:pPr>
      <w:r>
        <w:t xml:space="preserve">IV. Research Priorities and National Security</w:t>
      </w:r>
    </w:p>
    <w:p>
      <w:pPr>
        <w:pStyle w:val="FirstParagraph"/>
      </w:pPr>
      <w:r>
        <w:t xml:space="preserve">In</w:t>
      </w:r>
      <w:r>
        <w:t xml:space="preserve"> </w:t>
      </w:r>
      <w:r>
        <w:rPr>
          <w:bCs/>
          <w:b/>
        </w:rPr>
        <w:t xml:space="preserve">Israel Tel Aviv</w:t>
      </w:r>
      <w:r>
        <w:t xml:space="preserve">, research is heavily influenced by regional security concerns and environmental challenges such as water scarcity. Professors in fields ranging from cybersecurity to agricultural science play a crucial role in national defense and sustainability. Unlike professors in other parts of the world, those in</w:t>
      </w:r>
      <w:r>
        <w:t xml:space="preserve"> </w:t>
      </w:r>
      <w:r>
        <w:rPr>
          <w:bCs/>
          <w:b/>
        </w:rPr>
        <w:t xml:space="preserve">Israel Tel Aviv</w:t>
      </w:r>
      <w:r>
        <w:t xml:space="preserve"> </w:t>
      </w:r>
      <w:r>
        <w:t xml:space="preserve">often engage with government agencies directly, translating academic findings into policy.</w:t>
      </w:r>
    </w:p>
    <w:p>
      <w:pPr>
        <w:pStyle w:val="BodyText"/>
      </w:pPr>
      <w:r>
        <w:t xml:space="preserve">This proximity to power means that the</w:t>
      </w:r>
      <w:r>
        <w:t xml:space="preserve"> </w:t>
      </w:r>
      <w:r>
        <w:rPr>
          <w:bCs/>
          <w:b/>
        </w:rPr>
        <w:t xml:space="preserve">Professor</w:t>
      </w:r>
      <w:r>
        <w:t xml:space="preserve">'s work has immediate real-world implications. For instance, research conducted by professors in cybersecurity departments in Tel Aviv contributes directly to protecting national infrastructure. Similarly, environmental science professors develop technologies vital for the region's survival. This intersection of academia and state necessity defines the unique profile of a professor in this locale, requiring ethical vigilance and a commitment to public service alongside scholarly excellence.</w:t>
      </w:r>
    </w:p>
    <w:bookmarkEnd w:id="23"/>
    <w:bookmarkStart w:id="24" w:name="v.-the-global-ambassador-role"/>
    <w:p>
      <w:pPr>
        <w:pStyle w:val="Heading2"/>
      </w:pPr>
      <w:r>
        <w:t xml:space="preserve">V. The Global Ambassador Role</w:t>
      </w:r>
    </w:p>
    <w:p>
      <w:pPr>
        <w:pStyle w:val="FirstParagraph"/>
      </w:pPr>
      <w:r>
        <w:t xml:space="preserve">Beyond local impacts,</w:t>
      </w:r>
      <w:r>
        <w:t xml:space="preserve"> </w:t>
      </w:r>
      <w:r>
        <w:rPr>
          <w:bCs/>
          <w:b/>
        </w:rPr>
        <w:t xml:space="preserve">Israel Tel Aviv</w:t>
      </w:r>
      <w:r>
        <w:t xml:space="preserve">'s professors serve as global ambassadors for their country. Due to the polarized nature of international discourse regarding the region, academics often find themselves at the forefront of cultural diplomacy. A</w:t>
      </w:r>
      <w:r>
        <w:t xml:space="preserve"> </w:t>
      </w:r>
      <w:r>
        <w:rPr>
          <w:bCs/>
          <w:b/>
        </w:rPr>
        <w:t xml:space="preserve">Professor</w:t>
      </w:r>
      <w:r>
        <w:t xml:space="preserve">'s publications and public appearances shape how the world perceives</w:t>
      </w:r>
      <w:r>
        <w:t xml:space="preserve"> </w:t>
      </w:r>
      <w:r>
        <w:rPr>
          <w:bCs/>
          <w:b/>
        </w:rPr>
        <w:t xml:space="preserve">Israel Tel Aviv</w:t>
      </w:r>
      <w:r>
        <w:t xml:space="preserve">. They must balance academic freedom with diplomatic sensitivity.</w:t>
      </w:r>
    </w:p>
    <w:p>
      <w:pPr>
        <w:pStyle w:val="BodyText"/>
      </w:pPr>
      <w:r>
        <w:t xml:space="preserve">In conferences abroad, these scholars represent not just their universities but also a city known for its openness and diversity. They challenge stereotypes by showcasing the depth of intellectual life in</w:t>
      </w:r>
      <w:r>
        <w:t xml:space="preserve"> </w:t>
      </w:r>
      <w:r>
        <w:rPr>
          <w:bCs/>
          <w:b/>
        </w:rPr>
        <w:t xml:space="preserve">Israel Tel Aviv</w:t>
      </w:r>
      <w:r>
        <w:t xml:space="preserve">. This outward-facing role requires professors to be adept communicators who can articulate the complexity of their society without succumbing to political simplifications. Their success enhances the soft power of</w:t>
      </w:r>
      <w:r>
        <w:t xml:space="preserve"> </w:t>
      </w:r>
      <w:r>
        <w:rPr>
          <w:bCs/>
          <w:b/>
        </w:rPr>
        <w:t xml:space="preserve">Israel Tel Aviv</w:t>
      </w:r>
      <w:r>
        <w:t xml:space="preserve">, attracting talent and investment.</w:t>
      </w:r>
    </w:p>
    <w:bookmarkEnd w:id="24"/>
    <w:bookmarkStart w:id="25" w:name="vi.-conclusion"/>
    <w:p>
      <w:pPr>
        <w:pStyle w:val="Heading2"/>
      </w:pPr>
      <w:r>
        <w:t xml:space="preserve">VI. Conclusion</w:t>
      </w:r>
    </w:p>
    <w:p>
      <w:pPr>
        <w:pStyle w:val="FirstParagraph"/>
      </w:pPr>
      <w:r>
        <w:t xml:space="preserve">In conclusion, the figure of the</w:t>
      </w:r>
      <w:r>
        <w:t xml:space="preserve"> </w:t>
      </w:r>
      <w:r>
        <w:rPr>
          <w:bCs/>
          <w:b/>
        </w:rPr>
        <w:t xml:space="preserve">Professor</w:t>
      </w:r>
      <w:r>
        <w:t xml:space="preserve">' in</w:t>
      </w:r>
      <w:r>
        <w:t xml:space="preserve"> </w:t>
      </w:r>
      <w:r>
        <w:rPr>
          <w:bCs/>
          <w:b/>
        </w:rPr>
        <w:t xml:space="preserve">Israel Tel Aviv</w:t>
      </w:r>
      <w:r>
        <w:t xml:space="preserve">' is a complex amalgamation of educator, researcher, entrepreneur, and diplomat. The specific context of this city-state dictates a role that is highly integrated with societal needs. From navigating cultural diversity in the classroom to driving technological innovation for national security, these academics are central to the functioning of modern</w:t>
      </w:r>
      <w:r>
        <w:t xml:space="preserve"> </w:t>
      </w:r>
      <w:r>
        <w:rPr>
          <w:bCs/>
          <w:b/>
        </w:rPr>
        <w:t xml:space="preserve">Israel Tel Aviv</w:t>
      </w:r>
      <w:r>
        <w:t xml:space="preserve">.</w:t>
      </w:r>
    </w:p>
    <w:p>
      <w:pPr>
        <w:pStyle w:val="BodyText"/>
      </w:pPr>
      <w:r>
        <w:t xml:space="preserve">As global challenges grow more complex, the demand for versatile scholars will increase. The professors of</w:t>
      </w:r>
      <w:r>
        <w:t xml:space="preserve"> </w:t>
      </w:r>
      <w:r>
        <w:rPr>
          <w:bCs/>
          <w:b/>
        </w:rPr>
        <w:t xml:space="preserve">Israel Tel Aviv</w:t>
      </w:r>
      <w:r>
        <w:t xml:space="preserve">' must continue to adapt, bridging gaps between theory and practice, tradition and innovation. Their work ensures that</w:t>
      </w:r>
      <w:r>
        <w:t xml:space="preserve"> </w:t>
      </w:r>
      <w:r>
        <w:rPr>
          <w:bCs/>
          <w:b/>
        </w:rPr>
        <w:t xml:space="preserve">Israel Tel Aviv</w:t>
      </w:r>
      <w:r>
        <w:t xml:space="preserve">' remains not only a safe haven but a leading intellectual capital in the 21st century. Understanding this dynamic is essential for anyone studying higher education in the Middle East.</w:t>
      </w:r>
    </w:p>
    <w:bookmarkEnd w:id="25"/>
    <w:bookmarkStart w:id="26" w:name="vii.-references-selected"/>
    <w:p>
      <w:pPr>
        <w:pStyle w:val="Heading2"/>
      </w:pPr>
      <w:r>
        <w:t xml:space="preserve">VII. References (Selected)</w:t>
      </w:r>
    </w:p>
    <w:p>
      <w:pPr>
        <w:pStyle w:val="FirstParagraph"/>
      </w:pPr>
      <w:r>
        <w:t xml:space="preserve">- Ben-David, J., &amp; Zelniker, T. (1975).</w:t>
      </w:r>
      <w:r>
        <w:t xml:space="preserve"> </w:t>
      </w:r>
      <w:r>
        <w:rPr>
          <w:iCs/>
          <w:i/>
        </w:rPr>
        <w:t xml:space="preserve">The Academic Mind: Politics, Society and Culture</w:t>
      </w:r>
      <w:r>
        <w:t xml:space="preserve">. Free Press.</w:t>
      </w:r>
    </w:p>
    <w:p>
      <w:pPr>
        <w:pStyle w:val="BodyText"/>
      </w:pPr>
      <w:r>
        <w:t xml:space="preserve">- Ram, O. (2008).</w:t>
      </w:r>
      <w:r>
        <w:t xml:space="preserve"> </w:t>
      </w:r>
      <w:r>
        <w:rPr>
          <w:iCs/>
          <w:i/>
        </w:rPr>
        <w:t xml:space="preserve">The Power of Knowledge Elites: Choices and Dilemmas in Israeli Higher Education</w:t>
      </w:r>
      <w:r>
        <w:t xml:space="preserve">. Transaction Publishers.</w:t>
      </w:r>
    </w:p>
    <w:p>
      <w:pPr>
        <w:pStyle w:val="BodyText"/>
      </w:pPr>
      <w:r>
        <w:t xml:space="preserve">- Tel Aviv University Official Reports on Innovation and Industry Collaboration (2019-2023).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Professor in Israel Tel Aviv</dc:title>
  <dc:creator/>
  <dc:language>en</dc:language>
  <cp:keywords/>
  <dcterms:created xsi:type="dcterms:W3CDTF">2026-07-29T16:00:51Z</dcterms:created>
  <dcterms:modified xsi:type="dcterms:W3CDTF">2026-07-29T16:00:51Z</dcterms:modified>
</cp:coreProperties>
</file>

<file path=docProps/custom.xml><?xml version="1.0" encoding="utf-8"?>
<Properties xmlns="http://schemas.openxmlformats.org/officeDocument/2006/custom-properties" xmlns:vt="http://schemas.openxmlformats.org/officeDocument/2006/docPropsVTypes"/>
</file>