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bookmarkStart w:id="20" w:name="Xee96b6add55ae96037969f0b7b7f0fdd653e9d4"/>
    <w:p>
      <w:pPr>
        <w:pStyle w:val="Heading1"/>
      </w:pPr>
      <w:r>
        <w:t xml:space="preserve">Enhancing Student Well-being and Academic Success: The Critical Role of the School Counselor in Colombia Bogotá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bookmarkEnd w:id="20"/>
    <w:bookmarkStart w:id="21" w:name="X084b15177c733707ec770cebc1dff9ae47279b0"/>
    <w:p>
      <w:pPr>
        <w:pStyle w:val="Heading1"/>
      </w:pPr>
      <w:r>
        <w:t xml:space="preserve">Enhancing Student Well-being and Academic Success: The Critical Role of the School Counselor in Colombia Bogotá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Educational Policy Review Committee, Ministry of National Education, Colombia Bogotá</w:t>
      </w:r>
    </w:p>
    <w:p>
      <w:pPr>
        <w:pStyle w:val="BodyText"/>
      </w:pPr>
      <w:r>
        <w:t xml:space="preserve">Enhancing Student Well-being and Academic Success: The Critical Role of the School Counselor in Colombia Bogotá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School Counselor in Colombia Bogotá</dc:title>
  <dc:creator/>
  <dc:language>en</dc:language>
  <cp:keywords/>
  <dcterms:created xsi:type="dcterms:W3CDTF">2026-07-29T22:32:57Z</dcterms:created>
  <dcterms:modified xsi:type="dcterms:W3CDTF">2026-07-29T22:32:57Z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