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Australia</w:t>
      </w:r>
      <w:r>
        <w:t xml:space="preserve"> </w:t>
      </w:r>
      <w:r>
        <w:t xml:space="preserve">Melbourne</w:t>
      </w:r>
    </w:p>
    <w:p>
      <w:pPr>
        <w:pStyle w:val="FirstParagraph"/>
      </w:pPr>
      <w:r>
        <w:t xml:space="preserve">```html</w:t>
      </w:r>
    </w:p>
    <w:p>
      <w:pPr>
        <w:pStyle w:val="BodyText"/>
      </w:pPr>
    </w:p>
    <w:bookmarkStart w:id="20" w:name="term-paper"/>
    <w:p>
      <w:pPr>
        <w:pStyle w:val="Heading1"/>
      </w:pPr>
      <w:r>
        <w:t xml:space="preserve">Term Paper</w:t>
      </w:r>
    </w:p>
    <w:p>
      <w:pPr>
        <w:pStyle w:val="FirstParagraph"/>
      </w:pPr>
      <w:r>
        <w:rPr>
          <w:bCs/>
          <w:b/>
        </w:rPr>
        <w:t xml:space="preserve">Title:</w:t>
      </w:r>
    </w:p>
    <w:p>
      <w:pPr>
        <w:pStyle w:val="BodyText"/>
      </w:pPr>
      <w:r>
        <w:t xml:space="preserve">The Essential Role of the Social Worker within the Socio-Political Landscape of Australia Melbourne</w:t>
      </w:r>
      <w:r>
        <w:br/>
      </w:r>
    </w:p>
    <w:p>
      <w:pPr>
        <w:pStyle w:val="BodyText"/>
      </w:pPr>
      <w:r>
        <w:rPr>
          <w:iCs/>
          <w:i/>
        </w:rPr>
        <w:t xml:space="preserve">(Date: May 24, 2024)</w:t>
      </w:r>
    </w:p>
    <w:bookmarkEnd w:id="20"/>
    <w:p>
      <w:pPr>
        <w:pStyle w:val="BodyText"/>
      </w:pPr>
      <w:r>
        <w:t xml:space="preserve">This term paper examines the multifaceted responsibilities, ethical frameworks, and societal contributions of the</w:t>
      </w:r>
      <w:r>
        <w:t xml:space="preserve"> </w:t>
      </w:r>
      <w:r>
        <w:rPr>
          <w:bCs/>
          <w:b/>
        </w:rPr>
        <w:t xml:space="preserve">Social Worker</w:t>
      </w:r>
      <w:r>
        <w:t xml:space="preserve">. The analysis specifically focuses on the unique contextual dynamics present in</w:t>
      </w:r>
      <w:r>
        <w:t xml:space="preserve"> </w:t>
      </w:r>
      <w:r>
        <w:rPr>
          <w:bCs/>
          <w:b/>
        </w:rPr>
        <w:t xml:space="preserve">Australia Melbourne</w:t>
      </w:r>
      <w:r>
        <w:t xml:space="preserve">, highlighting how local policies and cultural diversity shape professional practice. By integrating theoretical models with practical application within this specific geographic locale, this document aims to elucidate why the profession is indispensable to community wellbeing in one of Australia’s most vibrant cities.</w:t>
      </w:r>
    </w:p>
    <w:bookmarkStart w:id="21" w:name="introduction"/>
    <w:p>
      <w:pPr>
        <w:pStyle w:val="Heading2"/>
      </w:pPr>
      <w:r>
        <w:t xml:space="preserve">1. Introduction</w:t>
      </w:r>
    </w:p>
    <w:p>
      <w:pPr>
        <w:pStyle w:val="FirstParagraph"/>
      </w:pPr>
      <w:r>
        <w:t xml:space="preserve">Social work is a practice-based profession and an academic discipline that promotes social change, development, cohesion, and the empowerment of people. Principles of social justice, human rights, collective responsibility, and respect for diversities are central to social work (Australian Association of Social Workers [AASW], 2020). In</w:t>
      </w:r>
      <w:r>
        <w:t xml:space="preserve"> </w:t>
      </w:r>
      <w:r>
        <w:rPr>
          <w:bCs/>
          <w:b/>
        </w:rPr>
        <w:t xml:space="preserve">Australia Melbourne</w:t>
      </w:r>
      <w:r>
        <w:t xml:space="preserve">, a city renowned for its multicultural tapestry and high quality of life, the role of the</w:t>
      </w:r>
      <w:r>
        <w:t xml:space="preserve"> </w:t>
      </w:r>
      <w:r>
        <w:rPr>
          <w:bCs/>
          <w:b/>
        </w:rPr>
        <w:t xml:space="preserve">Social Worker</w:t>
      </w:r>
      <w:r>
        <w:t xml:space="preserve"> </w:t>
      </w:r>
      <w:r>
        <w:t xml:space="preserve">extends beyond individual casework to include systemic advocacy and community building.</w:t>
      </w:r>
    </w:p>
    <w:p>
      <w:pPr>
        <w:pStyle w:val="BodyText"/>
      </w:pPr>
      <w:r>
        <w:t xml:space="preserve">Melbourne has consistently been ranked as one of the most livable cities globally. However, this status coexists with significant challenges, including housing affordability crises, homelessness among vulnerable populations, and the integration needs of a large migrant and refugee community. Consequently, the</w:t>
      </w:r>
      <w:r>
        <w:t xml:space="preserve"> </w:t>
      </w:r>
      <w:r>
        <w:rPr>
          <w:bCs/>
          <w:b/>
        </w:rPr>
        <w:t xml:space="preserve">Social Worker</w:t>
      </w:r>
      <w:r>
        <w:t xml:space="preserve"> </w:t>
      </w:r>
      <w:r>
        <w:t xml:space="preserve">in</w:t>
      </w:r>
      <w:r>
        <w:t xml:space="preserve"> </w:t>
      </w:r>
      <w:r>
        <w:rPr>
          <w:bCs/>
          <w:b/>
        </w:rPr>
        <w:t xml:space="preserve">Australia Melbourne</w:t>
      </w:r>
      <w:r>
        <w:t xml:space="preserve"> </w:t>
      </w:r>
      <w:r>
        <w:t xml:space="preserve">operates at a critical intersection where policy meets practice. This paper argues that the effectiveness of social services in this region is directly contingent upon the adaptability, cultural competency, and legislative knowledge possessed by qualified social workers.</w:t>
      </w:r>
    </w:p>
    <w:bookmarkEnd w:id="21"/>
    <w:bookmarkStart w:id="24" w:name="X07cde3d1b42fe9a725805d2eb31a4bfbb834047"/>
    <w:p>
      <w:pPr>
        <w:pStyle w:val="Heading2"/>
      </w:pPr>
      <w:r>
        <w:t xml:space="preserve">2. The Framework of Practice: AASW Standards in Melbourne</w:t>
      </w:r>
    </w:p>
    <w:p>
      <w:pPr>
        <w:pStyle w:val="FirstParagraph"/>
      </w:pPr>
      <w:r>
        <w:t xml:space="preserve">All professional</w:t>
      </w:r>
      <w:r>
        <w:t xml:space="preserve"> </w:t>
      </w:r>
      <w:r>
        <w:rPr>
          <w:bCs/>
          <w:b/>
        </w:rPr>
        <w:t xml:space="preserve">Social Worker</w:t>
      </w:r>
      <w:r>
        <w:t xml:space="preserve">s operating in Australia must adhere to the code of ethics established by the Australian Association of Social Workers (AASW). These standards are not merely bureaucratic requirements but are foundational to maintaining public trust and ensuring ethical integrity. In the context of Melbourne, these ethical guidelines take on added significance due to the city’s diverse demographic composition.</w:t>
      </w:r>
    </w:p>
    <w:bookmarkStart w:id="22" w:name="X6dd466568f033ee04a2629424b6b5c75bef68e9"/>
    <w:p>
      <w:pPr>
        <w:pStyle w:val="Heading3"/>
      </w:pPr>
      <w:r>
        <w:t xml:space="preserve">2.1 Cultural Competency and Indigenous Engagement</w:t>
      </w:r>
    </w:p>
    <w:p>
      <w:pPr>
        <w:pStyle w:val="FirstParagraph"/>
      </w:pPr>
      <w:r>
        <w:t xml:space="preserve">Melbourne is home to a significant Aboriginal and Torres Strait Islander population. A core mandate for any</w:t>
      </w:r>
      <w:r>
        <w:t xml:space="preserve"> </w:t>
      </w:r>
      <w:r>
        <w:rPr>
          <w:bCs/>
          <w:b/>
        </w:rPr>
        <w:t xml:space="preserve">Social Worker</w:t>
      </w:r>
      <w:r>
        <w:t xml:space="preserve"> </w:t>
      </w:r>
      <w:r>
        <w:t xml:space="preserve">in this jurisdiction is the ability to engage respectfully with Indigenous communities, acknowledging historical trauma such as the Stolen Generations. Effective practice requires moving beyond tokenistic gestures toward genuine partnership with local Koori organizations. Social workers must understand the impact of colonization on mental health and family structures, employing strengths-based approaches that honor cultural heritage.</w:t>
      </w:r>
    </w:p>
    <w:bookmarkEnd w:id="22"/>
    <w:bookmarkStart w:id="23" w:name="multicultural-service-delivery"/>
    <w:p>
      <w:pPr>
        <w:pStyle w:val="Heading3"/>
      </w:pPr>
      <w:r>
        <w:t xml:space="preserve">2.2 Multicultural Service Delivery</w:t>
      </w:r>
    </w:p>
    <w:p>
      <w:pPr>
        <w:pStyle w:val="FirstParagraph"/>
      </w:pPr>
      <w:r>
        <w:t xml:space="preserve">Melbourne boasts one of the most diverse populations in the Western world, with residents speaking over 200 languages. The</w:t>
      </w:r>
      <w:r>
        <w:t xml:space="preserve"> </w:t>
      </w:r>
      <w:r>
        <w:rPr>
          <w:bCs/>
          <w:b/>
        </w:rPr>
        <w:t xml:space="preserve">Social Worker</w:t>
      </w:r>
      <w:r>
        <w:t xml:space="preserve"> </w:t>
      </w:r>
      <w:r>
        <w:t xml:space="preserve">must possess high levels of cultural humility and linguistic awareness. This often involves collaboration with professional interpreters and community leaders to ensure that non-English speaking backgrounds (NESB) clients have equitable access to services such as healthcare, education, and housing support.</w:t>
      </w:r>
    </w:p>
    <w:bookmarkEnd w:id="23"/>
    <w:bookmarkEnd w:id="24"/>
    <w:bookmarkStart w:id="28" w:name="Xdc42834cc85c0eacab36410a45d6398a72a9533"/>
    <w:p>
      <w:pPr>
        <w:pStyle w:val="Heading2"/>
      </w:pPr>
      <w:r>
        <w:t xml:space="preserve">3. Key Areas of Intervention in Australia Melbourne</w:t>
      </w:r>
    </w:p>
    <w:p>
      <w:pPr>
        <w:pStyle w:val="FirstParagraph"/>
      </w:pPr>
      <w:r>
        <w:t xml:space="preserve">The scope of social work in Melbourne is broad, ranging from clinical therapy to macro-level policy advocacy. Three primary areas highlight the urgent need for robust social work intervention in this city.</w:t>
      </w:r>
    </w:p>
    <w:bookmarkStart w:id="25" w:name="homelessness-and-housing-stability"/>
    <w:p>
      <w:pPr>
        <w:pStyle w:val="Heading3"/>
      </w:pPr>
      <w:r>
        <w:t xml:space="preserve">3.1 Homelessness and Housing Stability</w:t>
      </w:r>
    </w:p>
    <w:p>
      <w:pPr>
        <w:pStyle w:val="FirstParagraph"/>
      </w:pPr>
      <w:r>
        <w:t xml:space="preserve">Melbourne faces a severe homelessness crisis, particularly among young people and those fleeing family violence. The "Home First" model promoted by the Victorian government emphasizes housing as a human right. Here, the</w:t>
      </w:r>
      <w:r>
        <w:t xml:space="preserve"> </w:t>
      </w:r>
      <w:r>
        <w:rPr>
          <w:bCs/>
          <w:b/>
        </w:rPr>
        <w:t xml:space="preserve">Social Worker</w:t>
      </w:r>
      <w:r>
        <w:t xml:space="preserve"> </w:t>
      </w:r>
      <w:r>
        <w:t xml:space="preserve">plays a pivotal role in case management, coordinating between state housing departments, non-governmental organizations (NGOs) like Salvation Army or Anglicare Victoria, and individual clients. They provide not only material support but also psychosocial stabilization to help individuals maintain tenancy.</w:t>
      </w:r>
    </w:p>
    <w:bookmarkEnd w:id="25"/>
    <w:bookmarkStart w:id="26" w:name="child-protection-and-family-services"/>
    <w:p>
      <w:pPr>
        <w:pStyle w:val="Heading3"/>
      </w:pPr>
      <w:r>
        <w:t xml:space="preserve">3.2 Child Protection and Family Services</w:t>
      </w:r>
    </w:p>
    <w:p>
      <w:pPr>
        <w:pStyle w:val="FirstParagraph"/>
      </w:pPr>
      <w:r>
        <w:t xml:space="preserve">The Department of Families, Fairness and Housing in Victoria oversees child protection services. Social workers are on the front lines of assessing risk, conducting investigations, and providing therapeutic intervention for at-risk families. In Melbourne’s outer suburbs and high-density housing estates, social workers often deal with complex issues such as poverty-related neglect, substance abuse within households, and domestic violence. Their work is crucial in preventing family breakdown through early intervention programs.</w:t>
      </w:r>
    </w:p>
    <w:bookmarkEnd w:id="26"/>
    <w:bookmarkStart w:id="27" w:name="mental-health-support"/>
    <w:p>
      <w:pPr>
        <w:pStyle w:val="Heading3"/>
      </w:pPr>
      <w:r>
        <w:t xml:space="preserve">3.3 Mental Health Support</w:t>
      </w:r>
    </w:p>
    <w:p>
      <w:pPr>
        <w:pStyle w:val="FirstParagraph"/>
      </w:pPr>
      <w:r>
        <w:t xml:space="preserve">Melbourne has a robust public mental health system centered around hospitals and community health centers. Under the Medicare scheme, social workers provide subsidised psychological services. Given the recent global emphasis on mental well-being, particularly post-pandemic, the demand for counseling and crisis intervention in Melbourne has surged. Social workers utilize evidence-based therapies to address anxiety, depression, and trauma among diverse groups.</w:t>
      </w:r>
    </w:p>
    <w:bookmarkEnd w:id="27"/>
    <w:bookmarkEnd w:id="28"/>
    <w:bookmarkStart w:id="31" w:name="X15a97126993e5bdff220b27abab3871be831f7c"/>
    <w:p>
      <w:pPr>
        <w:pStyle w:val="Heading2"/>
      </w:pPr>
      <w:r>
        <w:t xml:space="preserve">4. Challenges Facing Social Workers in Australia Melbourne</w:t>
      </w:r>
    </w:p>
    <w:p>
      <w:pPr>
        <w:pStyle w:val="FirstParagraph"/>
      </w:pPr>
      <w:r>
        <w:t xml:space="preserve">Despite the critical nature of their work, social workers in Melbourne face significant systemic challenges.</w:t>
      </w:r>
    </w:p>
    <w:bookmarkStart w:id="29" w:name="resource-constraints"/>
    <w:p>
      <w:pPr>
        <w:pStyle w:val="Heading3"/>
      </w:pPr>
      <w:r>
        <w:t xml:space="preserve">4.1 Resource Constraints</w:t>
      </w:r>
    </w:p>
    <w:p>
      <w:pPr>
        <w:pStyle w:val="FirstParagraph"/>
      </w:pPr>
      <w:r>
        <w:t xml:space="preserve">Funding cuts and bureaucratic red tape often hinder the ability of the</w:t>
      </w:r>
      <w:r>
        <w:t xml:space="preserve"> </w:t>
      </w:r>
      <w:r>
        <w:rPr>
          <w:bCs/>
          <w:b/>
        </w:rPr>
        <w:t xml:space="preserve">Social Worker</w:t>
      </w:r>
      <w:r>
        <w:t xml:space="preserve"> </w:t>
      </w:r>
      <w:r>
        <w:t xml:space="preserve">to provide comprehensive care. Long waiting lists for housing and mental health services can exacerbate client distress, forcing social workers to act as gatekeepers rather than facilitators of change.</w:t>
      </w:r>
    </w:p>
    <w:bookmarkEnd w:id="29"/>
    <w:bookmarkStart w:id="30" w:name="vicarious-trauma-and-burnout"/>
    <w:p>
      <w:pPr>
        <w:pStyle w:val="Heading3"/>
      </w:pPr>
      <w:r>
        <w:t xml:space="preserve">4.2 Vicarious Trauma and Burnout</w:t>
      </w:r>
    </w:p>
    <w:p>
      <w:pPr>
        <w:pStyle w:val="FirstParagraph"/>
      </w:pPr>
      <w:r>
        <w:t xml:space="preserve">The emotional toll of working with traumatic narratives is high. Melbourne’s social work sector has seen rising rates of burnout among professionals who deal daily with systemic inequality and human suffering without adequate institutional support.</w:t>
      </w:r>
    </w:p>
    <w:bookmarkEnd w:id="30"/>
    <w:bookmarkEnd w:id="31"/>
    <w:bookmarkStart w:id="32" w:name="conclusion"/>
    <w:p>
      <w:pPr>
        <w:pStyle w:val="Heading2"/>
      </w:pPr>
      <w:r>
        <w:t xml:space="preserve">5. Conclusion</w:t>
      </w:r>
    </w:p>
    <w:p>
      <w:pPr>
        <w:pStyle w:val="FirstParagraph"/>
      </w:pPr>
      <w:r>
        <w:t xml:space="preserve">In conclusion, the</w:t>
      </w:r>
      <w:r>
        <w:t xml:space="preserve"> </w:t>
      </w:r>
      <w:r>
        <w:rPr>
          <w:bCs/>
          <w:b/>
        </w:rPr>
        <w:t xml:space="preserve">Social Worker</w:t>
      </w:r>
      <w:r>
        <w:t xml:space="preserve"> </w:t>
      </w:r>
      <w:r>
        <w:t xml:space="preserve">in</w:t>
      </w:r>
      <w:r>
        <w:t xml:space="preserve"> </w:t>
      </w:r>
      <w:r>
        <w:rPr>
          <w:bCs/>
          <w:b/>
        </w:rPr>
        <w:t xml:space="preserve">Australia Melbourne</w:t>
      </w:r>
      <w:r>
        <w:t xml:space="preserve"> </w:t>
      </w:r>
      <w:r>
        <w:t xml:space="preserve">serves as a vital pillar of the city’s social infrastructure. They navigate a complex landscape defined by cultural diversity, socioeconomic disparity, and evolving policy environments. Whether addressing homelessness in Collingwood or supporting refugee families in Footscray, these professionals embody the principles of empathy, justice, and resilience.</w:t>
      </w:r>
    </w:p>
    <w:p>
      <w:pPr>
        <w:pStyle w:val="BodyText"/>
      </w:pPr>
      <w:r>
        <w:t xml:space="preserve">To maintain Melbourne’s status as a global leader in livability and social equity, there must be continued investment in the social work profession. This includes adequate funding for services, recognition of their expertise within interdisciplinary teams, and support for professional development. Only through sustained commitment to the</w:t>
      </w:r>
      <w:r>
        <w:t xml:space="preserve"> </w:t>
      </w:r>
      <w:r>
        <w:rPr>
          <w:bCs/>
          <w:b/>
        </w:rPr>
        <w:t xml:space="preserve">Social Worker</w:t>
      </w:r>
      <w:r>
        <w:t xml:space="preserve"> </w:t>
      </w:r>
      <w:r>
        <w:t xml:space="preserve">can</w:t>
      </w:r>
      <w:r>
        <w:t xml:space="preserve"> </w:t>
      </w:r>
      <w:r>
        <w:rPr>
          <w:bCs/>
          <w:b/>
        </w:rPr>
        <w:t xml:space="preserve">Australia Melbourne</w:t>
      </w:r>
      <w:r>
        <w:t xml:space="preserve"> </w:t>
      </w:r>
      <w:r>
        <w:t xml:space="preserve">ensure a inclusive and supportive environment for all its residents.</w:t>
      </w:r>
    </w:p>
    <w:bookmarkEnd w:id="32"/>
    <w:bookmarkStart w:id="33" w:name="references-selected"/>
    <w:p>
      <w:pPr>
        <w:pStyle w:val="Heading2"/>
      </w:pPr>
      <w:r>
        <w:t xml:space="preserve">6. References (Selected)</w:t>
      </w:r>
    </w:p>
    <w:p>
      <w:pPr>
        <w:numPr>
          <w:ilvl w:val="0"/>
          <w:numId w:val="1001"/>
        </w:numPr>
        <w:pStyle w:val="Compact"/>
      </w:pPr>
      <w:r>
        <w:t xml:space="preserve">Australian Association of Social Workers. (2020). Code of Ethics.</w:t>
      </w:r>
      <w:r>
        <w:br/>
      </w:r>
    </w:p>
    <w:p>
      <w:pPr>
        <w:numPr>
          <w:ilvl w:val="0"/>
          <w:numId w:val="1001"/>
        </w:numPr>
        <w:pStyle w:val="Compact"/>
      </w:pPr>
      <w:r>
        <w:t xml:space="preserve">VicHealth. (2019). Health Equity in Victoria.</w:t>
      </w:r>
      <w:r>
        <w:br/>
      </w:r>
    </w:p>
    <w:p>
      <w:pPr>
        <w:numPr>
          <w:ilvl w:val="0"/>
          <w:numId w:val="1001"/>
        </w:numPr>
        <w:pStyle w:val="Compact"/>
      </w:pPr>
      <w:r>
        <w:t xml:space="preserve">Gibbs, L., &amp; Dolan, P. (Eds.).( 2 5 ).</w:t>
      </w:r>
      <w:r>
        <w:t xml:space="preserve"> </w:t>
      </w:r>
      <w:r>
        <w:rPr>
          <w:iCs/>
          <w:i/>
        </w:rPr>
        <w:t xml:space="preserve">Introducing Social Work</w:t>
      </w:r>
      <w:r>
        <w:t xml:space="preserve">. Oxford University Press.</w:t>
      </w:r>
    </w:p>
    <w:p>
      <w:pPr>
        <w:pStyle w:val="FirstParagraph"/>
      </w:pPr>
      <w:r>
        <w:t xml:space="preserve">End of Term Paper Document</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Social Workers in Australia Melbourne</dc:title>
  <dc:creator/>
  <dc:language>en</dc:language>
  <cp:keywords/>
  <dcterms:created xsi:type="dcterms:W3CDTF">2026-07-29T22:21:58Z</dcterms:created>
  <dcterms:modified xsi:type="dcterms:W3CDTF">2026-07-29T22:21:58Z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