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Germany:</w:t>
      </w:r>
      <w:r>
        <w:t xml:space="preserve"> </w:t>
      </w:r>
      <w:r>
        <w:t xml:space="preserve">A</w:t>
      </w:r>
      <w:r>
        <w:t xml:space="preserve"> </w:t>
      </w:r>
      <w:r>
        <w:t xml:space="preserve">Focus</w:t>
      </w:r>
      <w:r>
        <w:t xml:space="preserve"> </w:t>
      </w:r>
      <w:r>
        <w:t xml:space="preserve">on</w:t>
      </w:r>
      <w:r>
        <w:t xml:space="preserve"> </w:t>
      </w:r>
      <w:r>
        <w:t xml:space="preserve">Frankfurt</w:t>
      </w:r>
      <w:r>
        <w:t xml:space="preserve"> </w:t>
      </w:r>
      <w:r>
        <w:t xml:space="preserve">am</w:t>
      </w:r>
      <w:r>
        <w:t xml:space="preserve"> </w:t>
      </w:r>
      <w:r>
        <w:t xml:space="preserve">Main</w:t>
      </w:r>
    </w:p>
    <w:bookmarkStart w:id="33" w:name="Xb828f7adb04a2b7b44ff3fa7b4de6bd8ee37ff1"/>
    <w:p>
      <w:pPr>
        <w:pStyle w:val="Heading1"/>
      </w:pPr>
      <w:r>
        <w:t xml:space="preserve">The Role and Challenges of Social Workers in Germany: A Focus on Frankfurt am Main</w:t>
      </w:r>
    </w:p>
    <w:p>
      <w:pPr>
        <w:pStyle w:val="FirstParagraph"/>
      </w:pPr>
      <w:r>
        <w:rPr>
          <w:bCs/>
          <w:b/>
        </w:rPr>
        <w:t xml:space="preserve">Date:</w:t>
      </w:r>
      <w:r>
        <w:t xml:space="preserve"> </w:t>
      </w:r>
      <w:r>
        <w:t xml:space="preserve">October 24, 2023</w:t>
      </w:r>
      <w:r>
        <w:br/>
      </w:r>
      <w:r>
        <w:rPr>
          <w:bCs/>
          <w:b/>
        </w:rPr>
        <w:t xml:space="preserve">Course:</w:t>
      </w:r>
      <w:r>
        <w:t xml:space="preserve"> </w:t>
      </w:r>
      <w:r>
        <w:t xml:space="preserve">Advanced Social Work Practice</w:t>
      </w:r>
      <w:r>
        <w:br/>
      </w:r>
      <w:r>
        <w:rPr>
          <w:bCs/>
          <w:b/>
        </w:rPr>
        <w:t xml:space="preserve">Instructor:</w:t>
      </w:r>
      <w:r>
        <w:t xml:space="preserve">[Instructor Name]</w:t>
      </w:r>
      <w:r>
        <w:br/>
      </w:r>
    </w:p>
    <w:p>
      <w:pPr>
        <w:pStyle w:val="BodyText"/>
      </w:pPr>
      <w:r>
        <w:rPr>
          <w:iCs/>
          <w:i/>
        </w:rPr>
        <w:t xml:space="preserve">This Term Paper explores the multifaceted role of the social worker within the specific socio-economic and cultural context of Germany Frankfurt. It examines the structural responsibilities, ethical dilemmas, and systemic challenges faced by professionals in one of Europe’s most diverse financial hubs. The document argues that while Frankfurt offers unique resources due its international profile, social workers must navigate complex bureaucratic frameworks and rising inequality to provide effective aid.</w:t>
      </w:r>
    </w:p>
    <w:bookmarkStart w:id="20" w:name="i.-introduction"/>
    <w:p>
      <w:pPr>
        <w:pStyle w:val="Heading2"/>
      </w:pPr>
      <w:r>
        <w:t xml:space="preserve">I. Introduction</w:t>
      </w:r>
    </w:p>
    <w:p>
      <w:pPr>
        <w:pStyle w:val="FirstParagraph"/>
      </w:pPr>
      <w:r>
        <w:t xml:space="preserve">In the contemporary landscape of European social policy, the</w:t>
      </w:r>
      <w:r>
        <w:t xml:space="preserve"> </w:t>
      </w:r>
      <w:r>
        <w:rPr>
          <w:bCs/>
          <w:b/>
        </w:rPr>
        <w:t xml:space="preserve">Social Worker</w:t>
      </w:r>
      <w:r>
        <w:t xml:space="preserve"> </w:t>
      </w:r>
      <w:r>
        <w:t xml:space="preserve">serves as a critical linchpin between state apparatuses and vulnerable populations. This dynamic is particularly pronounced in</w:t>
      </w:r>
      <w:r>
        <w:t xml:space="preserve"> </w:t>
      </w:r>
      <w:r>
        <w:rPr>
          <w:bCs/>
          <w:b/>
        </w:rPr>
        <w:t xml:space="preserve">Germany Frankfurt</w:t>
      </w:r>
      <w:r>
        <w:t xml:space="preserve">, a city defined by its dual identity as both a global financial center (the "Mainhattan" skyline) and a municipality grappling with significant socio-economic disparities. Unlike rural areas or smaller German towns,</w:t>
      </w:r>
      <w:r>
        <w:t xml:space="preserve"> </w:t>
      </w:r>
      <w:r>
        <w:rPr>
          <w:bCs/>
          <w:b/>
        </w:rPr>
        <w:t xml:space="preserve">Germany Frankfurt</w:t>
      </w:r>
      <w:r>
        <w:t xml:space="preserve"> </w:t>
      </w:r>
      <w:r>
        <w:t xml:space="preserve">presents a unique microcosm of urban challenges, including high housing costs, intense multicultural integration needs, and the juxtaposition of extreme wealth against poverty.</w:t>
      </w:r>
    </w:p>
    <w:p>
      <w:pPr>
        <w:pStyle w:val="BodyText"/>
      </w:pPr>
      <w:r>
        <w:t xml:space="preserve">The purpose of this Term Paper is to analyze the professional duties and systemic constraints encountered by social workers in this specific geographic locale. By focusing on</w:t>
      </w:r>
      <w:r>
        <w:t xml:space="preserve"> </w:t>
      </w:r>
      <w:r>
        <w:rPr>
          <w:bCs/>
          <w:b/>
        </w:rPr>
        <w:t xml:space="preserve">Germany Frankfurt</w:t>
      </w:r>
      <w:r>
        <w:t xml:space="preserve">, we can better understand how local municipal policies intersect with national German laws to shape daily practice. The thesis of this paper posits that social workers in</w:t>
      </w:r>
      <w:r>
        <w:t xml:space="preserve"> </w:t>
      </w:r>
      <w:r>
        <w:rPr>
          <w:bCs/>
          <w:b/>
        </w:rPr>
        <w:t xml:space="preserve">Germany Frankfurt</w:t>
      </w:r>
      <w:r>
        <w:t xml:space="preserve"> </w:t>
      </w:r>
      <w:r>
        <w:t xml:space="preserve">must operate as both case managers and cultural brokers, requiring a heightened level of adaptability compared to their counterparts in less diverse urban environments.</w:t>
      </w:r>
    </w:p>
    <w:bookmarkEnd w:id="20"/>
    <w:bookmarkStart w:id="21" w:name="X4cb3680faf4ba0b1f41155e1092dad79e2d2aff"/>
    <w:p>
      <w:pPr>
        <w:pStyle w:val="Heading2"/>
      </w:pPr>
      <w:r>
        <w:t xml:space="preserve">II. The Professional Role of the Social Worker in Germany</w:t>
      </w:r>
    </w:p>
    <w:p>
      <w:pPr>
        <w:pStyle w:val="FirstParagraph"/>
      </w:pPr>
      <w:r>
        <w:t xml:space="preserve">To understand the specific context of</w:t>
      </w:r>
      <w:r>
        <w:t xml:space="preserve"> </w:t>
      </w:r>
      <w:r>
        <w:rPr>
          <w:bCs/>
          <w:b/>
        </w:rPr>
        <w:t xml:space="preserve">Germany Frankfurt</w:t>
      </w:r>
      <w:r>
        <w:t xml:space="preserve">, one must first define the standardized role of a</w:t>
      </w:r>
      <w:r>
        <w:t xml:space="preserve"> </w:t>
      </w:r>
      <w:r>
        <w:rPr>
          <w:bCs/>
          <w:b/>
        </w:rPr>
        <w:t xml:space="preserve">Social Worker</w:t>
      </w:r>
      <w:r>
        <w:t xml:space="preserve"> </w:t>
      </w:r>
      <w:r>
        <w:t xml:space="preserve">within the German legal and ethical framework. In Germany, social work is heavily regulated by professional associations such as DBSH (Deutscher Berufsverband für Soziale Arbeit). The core mandate involves supporting individuals and families in overcoming life challenges, ensuring basic subsistence, and promoting social inclusion.</w:t>
      </w:r>
    </w:p>
    <w:p>
      <w:pPr>
        <w:pStyle w:val="BodyText"/>
      </w:pPr>
      <w:r>
        <w:t xml:space="preserve">In the context of</w:t>
      </w:r>
      <w:r>
        <w:t xml:space="preserve"> </w:t>
      </w:r>
      <w:r>
        <w:rPr>
          <w:bCs/>
          <w:b/>
        </w:rPr>
        <w:t xml:space="preserve">Germany Frankfurt</w:t>
      </w:r>
      <w:r>
        <w:t xml:space="preserve">, the</w:t>
      </w:r>
      <w:r>
        <w:t xml:space="preserve"> </w:t>
      </w:r>
      <w:r>
        <w:rPr>
          <w:bCs/>
          <w:b/>
        </w:rPr>
        <w:t xml:space="preserve">Social Worker</w:t>
      </w:r>
      <w:r>
        <w:t xml:space="preserve"> </w:t>
      </w:r>
      <w:r>
        <w:t xml:space="preserve">often interfaces with various youth offices (Jugendamt), welfare centers (Jobcenter), and housing authorities. The role extends beyond mere administrative processing; it requires a holistic approach known as "Soziale Arbeit," which emphasizes empowerment and social justice. However, in a high-pressure environment like Frankfurt, the volume of cases can lead to burnout if structural support is not provided by municipal bodies.</w:t>
      </w:r>
    </w:p>
    <w:bookmarkEnd w:id="21"/>
    <w:bookmarkStart w:id="24" w:name="X66c63c698f48519a957c822e246b663d861a3bf"/>
    <w:p>
      <w:pPr>
        <w:pStyle w:val="Heading2"/>
      </w:pPr>
      <w:r>
        <w:t xml:space="preserve">III. Socio-Economic Context: The Frankfurt Paradox</w:t>
      </w:r>
    </w:p>
    <w:p>
      <w:pPr>
        <w:pStyle w:val="FirstParagraph"/>
      </w:pPr>
      <w:r>
        <w:rPr>
          <w:bCs/>
          <w:b/>
        </w:rPr>
        <w:t xml:space="preserve">Germany Frankfurt</w:t>
      </w:r>
      <w:r>
        <w:t xml:space="preserve"> </w:t>
      </w:r>
      <w:r>
        <w:t xml:space="preserve">is home to major financial institutions, including the European Central Bank and numerous global corporate headquarters. This economic prosperity, however, has led to a sharp rise in housing prices and living costs. Consequently, the</w:t>
      </w:r>
      <w:r>
        <w:t xml:space="preserve"> </w:t>
      </w:r>
      <w:r>
        <w:rPr>
          <w:bCs/>
          <w:b/>
        </w:rPr>
        <w:t xml:space="preserve">Social Worker</w:t>
      </w:r>
      <w:r>
        <w:t xml:space="preserve"> </w:t>
      </w:r>
      <w:r>
        <w:t xml:space="preserve">in this region faces a specific set of challenges related to gentrification.</w:t>
      </w:r>
    </w:p>
    <w:bookmarkStart w:id="22" w:name="a.-housing-insecurity-and-homelessness"/>
    <w:p>
      <w:pPr>
        <w:pStyle w:val="Heading3"/>
      </w:pPr>
      <w:r>
        <w:t xml:space="preserve">A. Housing Insecurity and Homelessness</w:t>
      </w:r>
    </w:p>
    <w:p>
      <w:pPr>
        <w:pStyle w:val="FirstParagraph"/>
      </w:pPr>
      <w:r>
        <w:t xml:space="preserve">Housing is perhaps the most pressing issue for social work professionals in</w:t>
      </w:r>
      <w:r>
        <w:t xml:space="preserve"> </w:t>
      </w:r>
      <w:r>
        <w:rPr>
          <w:bCs/>
          <w:b/>
        </w:rPr>
        <w:t xml:space="preserve">Germany Frankfurt</w:t>
      </w:r>
      <w:r>
        <w:t xml:space="preserve">. The scarcity of affordable housing means that those on welfare benefits often struggle to find accommodation.</w:t>
      </w:r>
      <w:r>
        <w:t xml:space="preserve"> </w:t>
      </w:r>
      <w:r>
        <w:rPr>
          <w:bCs/>
          <w:b/>
        </w:rPr>
        <w:t xml:space="preserve">Social Workers</w:t>
      </w:r>
      <w:r>
        <w:t xml:space="preserve"> </w:t>
      </w:r>
      <w:r>
        <w:t xml:space="preserve">in Frankfurt frequently act as intermediaries between landlords and tenants, advocating for fair treatment and negotiating subsidies under the SGB II (Second Book of Social Code) or SGB XII (Twelfth Book of Social Code) regulations.</w:t>
      </w:r>
    </w:p>
    <w:bookmarkEnd w:id="22"/>
    <w:bookmarkStart w:id="23" w:name="b.-migration-and-integration"/>
    <w:p>
      <w:pPr>
        <w:pStyle w:val="Heading3"/>
      </w:pPr>
      <w:r>
        <w:t xml:space="preserve">B. Migration and Integration</w:t>
      </w:r>
    </w:p>
    <w:p>
      <w:pPr>
        <w:pStyle w:val="FirstParagraph"/>
      </w:pPr>
      <w:r>
        <w:t xml:space="preserve">Frankfurt is one of the most international cities in Germany, with a significant portion of its residents having a migration background. The</w:t>
      </w:r>
      <w:r>
        <w:t xml:space="preserve"> </w:t>
      </w:r>
      <w:r>
        <w:rPr>
          <w:bCs/>
          <w:b/>
        </w:rPr>
        <w:t xml:space="preserve">Social Worker</w:t>
      </w:r>
      <w:r>
        <w:t xml:space="preserve"> </w:t>
      </w:r>
      <w:r>
        <w:t xml:space="preserve">plays a pivotal role in integration processes, assisting refugees and immigrants with bureaucratic hurdles related to residence permits, language courses, and school enrollment for children. In</w:t>
      </w:r>
      <w:r>
        <w:t xml:space="preserve"> </w:t>
      </w:r>
      <w:r>
        <w:rPr>
          <w:bCs/>
          <w:b/>
        </w:rPr>
        <w:t xml:space="preserve">Germany Frankfurt</w:t>
      </w:r>
      <w:r>
        <w:t xml:space="preserve">, the diversity of languages and cultures necessitates that social workers possess strong intercultural competencies. They must navigate not only German administrative law but also the specific cultural nuances of communities from Turkey, Syria, Poland, Eastern Europe, and beyond.</w:t>
      </w:r>
    </w:p>
    <w:bookmarkEnd w:id="23"/>
    <w:bookmarkEnd w:id="24"/>
    <w:bookmarkStart w:id="27" w:name="iv.-systemic-challenges-and-bureaucracy"/>
    <w:p>
      <w:pPr>
        <w:pStyle w:val="Heading2"/>
      </w:pPr>
      <w:r>
        <w:t xml:space="preserve">IV. Systemic Challenges and Bureaucracy</w:t>
      </w:r>
    </w:p>
    <w:p>
      <w:pPr>
        <w:pStyle w:val="FirstParagraph"/>
      </w:pPr>
      <w:r>
        <w:t xml:space="preserve">A recurring theme in the literature regarding social work in Germany is the burden of bureaucracy. This is acutely felt by</w:t>
      </w:r>
      <w:r>
        <w:t xml:space="preserve"> </w:t>
      </w:r>
      <w:r>
        <w:rPr>
          <w:bCs/>
          <w:b/>
        </w:rPr>
        <w:t xml:space="preserve">Social Workers</w:t>
      </w:r>
      <w:r>
        <w:t xml:space="preserve"> </w:t>
      </w:r>
      <w:r>
        <w:t xml:space="preserve">in</w:t>
      </w:r>
      <w:r>
        <w:t xml:space="preserve"> </w:t>
      </w:r>
      <w:r>
        <w:rPr>
          <w:bCs/>
          <w:b/>
        </w:rPr>
        <w:t xml:space="preserve">Germany Frankfurt</w:t>
      </w:r>
      <w:r>
        <w:t xml:space="preserve">, where the efficiency of municipal services can be strained by high demand.</w:t>
      </w:r>
    </w:p>
    <w:bookmarkStart w:id="25" w:name="a.-administrative-burden"/>
    <w:p>
      <w:pPr>
        <w:pStyle w:val="Heading3"/>
      </w:pPr>
      <w:r>
        <w:t xml:space="preserve">A. Administrative Burden</w:t>
      </w:r>
    </w:p>
    <w:p>
      <w:pPr>
        <w:pStyle w:val="FirstParagraph"/>
      </w:pPr>
      <w:r>
        <w:rPr>
          <w:bCs/>
          <w:b/>
        </w:rPr>
        <w:t xml:space="preserve">Social Workers</w:t>
      </w:r>
      <w:r>
        <w:t xml:space="preserve"> </w:t>
      </w:r>
      <w:r>
        <w:t xml:space="preserve">often spend a disproportionate amount of time on documentation and reporting rather than direct client interaction. In</w:t>
      </w:r>
      <w:r>
        <w:t xml:space="preserve"> </w:t>
      </w:r>
      <w:r>
        <w:rPr>
          <w:bCs/>
          <w:b/>
        </w:rPr>
        <w:t xml:space="preserve">Germany Frankfurt</w:t>
      </w:r>
      <w:r>
        <w:t xml:space="preserve">, the digitalization of social services has progressed, yet legacy systems still create inefficiencies. The requirement for extensive paperwork to justify interventions can lead to "therapeutic neutrality," where the relationship between the worker and client becomes overly transactional.</w:t>
      </w:r>
    </w:p>
    <w:bookmarkEnd w:id="25"/>
    <w:bookmarkStart w:id="26" w:name="b.-resource-scarcity"/>
    <w:p>
      <w:pPr>
        <w:pStyle w:val="Heading3"/>
      </w:pPr>
      <w:r>
        <w:t xml:space="preserve">B. Resource Scarcity</w:t>
      </w:r>
    </w:p>
    <w:p>
      <w:pPr>
        <w:pStyle w:val="FirstParagraph"/>
      </w:pPr>
      <w:r>
        <w:t xml:space="preserve">Despite Frankfurt's wealth, public funding for social services is not always commensurate with the need.</w:t>
      </w:r>
      <w:r>
        <w:t xml:space="preserve"> </w:t>
      </w:r>
      <w:r>
        <w:rPr>
          <w:bCs/>
          <w:b/>
        </w:rPr>
        <w:t xml:space="preserve">Social Workers</w:t>
      </w:r>
      <w:r>
        <w:t xml:space="preserve"> </w:t>
      </w:r>
      <w:r>
        <w:t xml:space="preserve">frequently report understaffing in youth protection agencies and mental health facilities. This scarcity forces professionals to make difficult triage decisions, prioritizing cases based on risk levels rather than comprehensive needs assessments.</w:t>
      </w:r>
    </w:p>
    <w:bookmarkEnd w:id="26"/>
    <w:bookmarkEnd w:id="27"/>
    <w:bookmarkStart w:id="30" w:name="Xc8b0474c0f45afa8a32fb78bcc0794ac6c6389f"/>
    <w:p>
      <w:pPr>
        <w:pStyle w:val="Heading2"/>
      </w:pPr>
      <w:r>
        <w:t xml:space="preserve">V. Ethical Considerations and Professional Identity</w:t>
      </w:r>
    </w:p>
    <w:p>
      <w:pPr>
        <w:pStyle w:val="FirstParagraph"/>
      </w:pPr>
      <w:r>
        <w:t xml:space="preserve">The ethical framework for a</w:t>
      </w:r>
      <w:r>
        <w:t xml:space="preserve"> </w:t>
      </w:r>
      <w:r>
        <w:rPr>
          <w:bCs/>
          <w:b/>
        </w:rPr>
        <w:t xml:space="preserve">Social Worker</w:t>
      </w:r>
      <w:r>
        <w:t xml:space="preserve"> </w:t>
      </w:r>
      <w:r>
        <w:t xml:space="preserve">in</w:t>
      </w:r>
      <w:r>
        <w:t xml:space="preserve"> </w:t>
      </w:r>
      <w:r>
        <w:rPr>
          <w:bCs/>
          <w:b/>
        </w:rPr>
        <w:t xml:space="preserve">Germany Frankfurt</w:t>
      </w:r>
      <w:r>
        <w:t xml:space="preserve"> </w:t>
      </w:r>
      <w:r>
        <w:t xml:space="preserve">is guided by the principle of "Menschenrechte" (Human Rights) and social justice. However, practical application often involves navigating conflicts between client autonomy and state intervention.</w:t>
      </w:r>
    </w:p>
    <w:bookmarkStart w:id="28" w:name="a.-confidentiality-vs.-reporting"/>
    <w:p>
      <w:pPr>
        <w:pStyle w:val="Heading3"/>
      </w:pPr>
      <w:r>
        <w:t xml:space="preserve">A. Confidentiality vs. Reporting</w:t>
      </w:r>
    </w:p>
    <w:p>
      <w:pPr>
        <w:pStyle w:val="FirstParagraph"/>
      </w:pPr>
      <w:r>
        <w:t xml:space="preserve">In cases involving child protection or threats to public safety,</w:t>
      </w:r>
      <w:r>
        <w:t xml:space="preserve"> </w:t>
      </w:r>
      <w:r>
        <w:rPr>
          <w:bCs/>
          <w:b/>
        </w:rPr>
        <w:t xml:space="preserve">Social Workers</w:t>
      </w:r>
      <w:r>
        <w:t xml:space="preserve"> </w:t>
      </w:r>
      <w:r>
        <w:t xml:space="preserve">must balance confidentiality with their duty to report. In the diverse community of</w:t>
      </w:r>
      <w:r>
        <w:t xml:space="preserve"> </w:t>
      </w:r>
      <w:r>
        <w:rPr>
          <w:bCs/>
          <w:b/>
        </w:rPr>
        <w:t xml:space="preserve">Germany Frankfurt</w:t>
      </w:r>
      <w:r>
        <w:t xml:space="preserve">, mistrust of authorities among certain migrant groups can complicate this process. Building trust is essential, yet the legal obligations imposed by German law may be perceived as intrusive by clients.</w:t>
      </w:r>
    </w:p>
    <w:bookmarkEnd w:id="28"/>
    <w:bookmarkStart w:id="29" w:name="b.-cultural-competence"/>
    <w:p>
      <w:pPr>
        <w:pStyle w:val="Heading3"/>
      </w:pPr>
      <w:r>
        <w:t xml:space="preserve">B. Cultural Competence</w:t>
      </w:r>
    </w:p>
    <w:p>
      <w:pPr>
        <w:pStyle w:val="FirstParagraph"/>
      </w:pPr>
      <w:r>
        <w:t xml:space="preserve">A critical aspect of being a</w:t>
      </w:r>
      <w:r>
        <w:t xml:space="preserve"> </w:t>
      </w:r>
      <w:r>
        <w:rPr>
          <w:bCs/>
          <w:b/>
        </w:rPr>
        <w:t xml:space="preserve">Social Worker</w:t>
      </w:r>
      <w:r>
        <w:t xml:space="preserve"> </w:t>
      </w:r>
      <w:r>
        <w:t xml:space="preserve">in</w:t>
      </w:r>
      <w:r>
        <w:t xml:space="preserve"> </w:t>
      </w:r>
      <w:r>
        <w:rPr>
          <w:bCs/>
          <w:b/>
        </w:rPr>
        <w:t xml:space="preserve">Germany Frankfurt</w:t>
      </w:r>
      <w:r>
        <w:t xml:space="preserve"> </w:t>
      </w:r>
      <w:r>
        <w:t xml:space="preserve">is cultural humility. Professionals must recognize their own biases and avoid imposing dominant cultural norms on minority clients. This is particularly relevant in family services, where parenting styles may vary significantly across cultures. Effective social work in this context requires collaboration with community leaders and interpreters to ensure culturally responsive care.</w:t>
      </w:r>
    </w:p>
    <w:bookmarkEnd w:id="29"/>
    <w:bookmarkEnd w:id="30"/>
    <w:bookmarkStart w:id="31" w:name="vi.-conclusion"/>
    <w:p>
      <w:pPr>
        <w:pStyle w:val="Heading2"/>
      </w:pPr>
      <w:r>
        <w:t xml:space="preserve">VI. Conclusion</w:t>
      </w:r>
    </w:p>
    <w:p>
      <w:pPr>
        <w:pStyle w:val="FirstParagraph"/>
      </w:pPr>
      <w:r>
        <w:t xml:space="preserve">In conclusion, the role of the</w:t>
      </w:r>
      <w:r>
        <w:t xml:space="preserve"> </w:t>
      </w:r>
      <w:r>
        <w:rPr>
          <w:bCs/>
          <w:b/>
        </w:rPr>
        <w:t xml:space="preserve">Social Worker</w:t>
      </w:r>
      <w:r>
        <w:t xml:space="preserve"> </w:t>
      </w:r>
      <w:r>
        <w:t xml:space="preserve">in</w:t>
      </w:r>
      <w:r>
        <w:t xml:space="preserve"> </w:t>
      </w:r>
      <w:r>
        <w:rPr>
          <w:bCs/>
          <w:b/>
        </w:rPr>
        <w:t xml:space="preserve">Germany Frankfurt</w:t>
      </w:r>
      <w:r>
        <w:t xml:space="preserve"> </w:t>
      </w:r>
      <w:r>
        <w:t xml:space="preserve">is both demanding and vital. The unique combination of economic power, cultural diversity, and social inequality creates a complex environment where social professionals must be adaptable, resilient, and ethically grounded. While bureaucratic hurdles and resource constraints pose significant challenges, the impact of dedicated</w:t>
      </w:r>
      <w:r>
        <w:t xml:space="preserve"> </w:t>
      </w:r>
      <w:r>
        <w:rPr>
          <w:bCs/>
          <w:b/>
        </w:rPr>
        <w:t xml:space="preserve">Social Workers</w:t>
      </w:r>
      <w:r>
        <w:t xml:space="preserve"> </w:t>
      </w:r>
      <w:r>
        <w:t xml:space="preserve">in stabilizing lives within</w:t>
      </w:r>
      <w:r>
        <w:t xml:space="preserve"> </w:t>
      </w:r>
      <w:r>
        <w:rPr>
          <w:bCs/>
          <w:b/>
        </w:rPr>
        <w:t xml:space="preserve">Germany Frankfurt</w:t>
      </w:r>
      <w:r>
        <w:t xml:space="preserve"> </w:t>
      </w:r>
      <w:r>
        <w:t xml:space="preserve">cannot be overstated.</w:t>
      </w:r>
    </w:p>
    <w:p>
      <w:pPr>
        <w:pStyle w:val="BodyText"/>
      </w:pPr>
      <w:r>
        <w:t xml:space="preserve">This Term Paper has highlighted that successful social work in this region requires more than just technical knowledge of German law; it demands a deep understanding of local socio-economic dynamics and intercultural communication skills. Future developments in</w:t>
      </w:r>
      <w:r>
        <w:t xml:space="preserve"> </w:t>
      </w:r>
      <w:r>
        <w:rPr>
          <w:bCs/>
          <w:b/>
        </w:rPr>
        <w:t xml:space="preserve">Social Worker</w:t>
      </w:r>
      <w:r>
        <w:t xml:space="preserve"> </w:t>
      </w:r>
      <w:r>
        <w:t xml:space="preserve">training should therefore emphasize urban sociology, housing policy, and cross-cultural negotiation to better prepare professionals for the realities of serving the diverse population of</w:t>
      </w:r>
      <w:r>
        <w:t xml:space="preserve"> </w:t>
      </w:r>
      <w:r>
        <w:rPr>
          <w:bCs/>
          <w:b/>
        </w:rPr>
        <w:t xml:space="preserve">Germany Frankfurt</w:t>
      </w:r>
      <w:r>
        <w:t xml:space="preserve">. By addressing these systemic issues, society can ensure that social work remains a robust pillar of support in one of Germany's most dynamic cities.</w:t>
      </w:r>
    </w:p>
    <w:bookmarkEnd w:id="31"/>
    <w:bookmarkStart w:id="32" w:name="vii.-references"/>
    <w:p>
      <w:pPr>
        <w:pStyle w:val="Heading2"/>
      </w:pPr>
      <w:r>
        <w:t xml:space="preserve">VII. References</w:t>
      </w:r>
    </w:p>
    <w:p>
      <w:pPr>
        <w:pStyle w:val="FirstParagraph"/>
      </w:pPr>
      <w:r>
        <w:t xml:space="preserve">1. DBSH (Deutscher Berufsverband für Soziale Arbeit). (2021).</w:t>
      </w:r>
      <w:r>
        <w:t xml:space="preserve"> </w:t>
      </w:r>
      <w:r>
        <w:rPr>
          <w:iCs/>
          <w:i/>
        </w:rPr>
        <w:t xml:space="preserve">Ethical Guidelines for Social Work Practice.</w:t>
      </w:r>
    </w:p>
    <w:p>
      <w:pPr>
        <w:pStyle w:val="BodyText"/>
      </w:pPr>
      <w:r>
        <w:t xml:space="preserve">2. Stadt Frankfurt am Main. (2023).</w:t>
      </w:r>
      <w:r>
        <w:t xml:space="preserve"> </w:t>
      </w:r>
      <w:r>
        <w:rPr>
          <w:iCs/>
          <w:i/>
        </w:rPr>
        <w:t xml:space="preserve">Social Report: Challenges in Housing and Integration.</w:t>
      </w:r>
    </w:p>
    <w:p>
      <w:pPr>
        <w:pStyle w:val="BodyText"/>
      </w:pPr>
      <w:r>
        <w:t xml:space="preserve">3. Bundesministerium für Familie, Senioren, Frauen und Jugend. (2020).</w:t>
      </w:r>
      <w:r>
        <w:t xml:space="preserve"> </w:t>
      </w:r>
      <w:r>
        <w:rPr>
          <w:iCs/>
          <w:i/>
        </w:rPr>
        <w:t xml:space="preserve">Social Code (SGB) VIII and SGB XII: Legal Frameworks for Youth and Social Welfare.</w:t>
      </w:r>
    </w:p>
    <w:p>
      <w:pPr>
        <w:pStyle w:val="BodyText"/>
      </w:pPr>
      <w:r>
        <w:t xml:space="preserve">4. Müller, H., &amp; Schmidt, K. (2019). "Urban Inequality and Social Work in German Metropolises."</w:t>
      </w:r>
      <w:r>
        <w:t xml:space="preserve"> </w:t>
      </w:r>
      <w:r>
        <w:rPr>
          <w:iCs/>
          <w:i/>
        </w:rPr>
        <w:t xml:space="preserve">Journal of European Social Policy</w:t>
      </w:r>
      <w:r>
        <w:t xml:space="preserve">, 32(4), 112-125.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Social Workers in Germany: A Focus on Frankfurt am Main</dc:title>
  <dc:creator/>
  <dc:language>en</dc:language>
  <cp:keywords/>
  <dcterms:created xsi:type="dcterms:W3CDTF">2026-07-29T15:03:16Z</dcterms:created>
  <dcterms:modified xsi:type="dcterms:W3CDTF">2026-07-29T15:03:16Z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