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7b57c840826f7eff2b67a73add450b07037ca33"/>
    <w:p>
      <w:pPr>
        <w:pStyle w:val="Heading1"/>
      </w:pPr>
      <w:r>
        <w:t xml:space="preserve">The Role and Impact of Social Workers in New Zealand Auckland</w:t>
      </w:r>
    </w:p>
    <w:p>
      <w:pPr>
        <w:pStyle w:val="FirstParagraph"/>
      </w:pPr>
      <w:r>
        <w:br/>
      </w:r>
      <w:r>
        <w:br/>
      </w:r>
      <w:r>
        <w:br/>
      </w:r>
    </w:p>
    <w:p>
      <w:pPr>
        <w:pStyle w:val="BodyText"/>
      </w:pPr>
      <w:r>
        <w:t xml:space="preserve">A Term Paper Submitted in Partial Fulfillment of the Requirements for Community Services Studies</w:t>
      </w:r>
    </w:p>
    <w:p>
      <w:pPr>
        <w:pStyle w:val="BodyText"/>
      </w:pPr>
      <w:r>
        <w:br/>
      </w:r>
      <w:r>
        <w:br/>
      </w:r>
    </w:p>
    <w:p>
      <w:pPr>
        <w:pStyle w:val="BodyText"/>
      </w:pPr>
      <w:r>
        <w:t xml:space="preserve">Date: October 24, 2023</w:t>
      </w:r>
    </w:p>
    <w:p>
      <w:pPr>
        <w:pStyle w:val="BodyText"/>
      </w:pPr>
      <w:r>
        <w:t xml:space="preserve">Institution: Auckland University of Technology (Simulated)</w:t>
      </w:r>
    </w:p>
    <w:p>
      <w:pPr>
        <w:pStyle w:val="BodyText"/>
      </w:pPr>
      <w:r>
        <w:t xml:space="preserve">Course Code: COMM501</w:t>
      </w:r>
    </w:p>
    <w:bookmarkEnd w:id="20"/>
    <w:bookmarkStart w:id="21" w:name="i.-introduction"/>
    <w:p>
      <w:pPr>
        <w:pStyle w:val="Heading1"/>
      </w:pPr>
      <w:r>
        <w:t xml:space="preserve">I. Introduction</w:t>
      </w:r>
    </w:p>
    <w:p>
      <w:pPr>
        <w:pStyle w:val="FirstParagraph"/>
      </w:pPr>
      <w:r>
        <w:t xml:space="preserve">Social work is a practice-based profession and an academic discipline that promotes social change, development, cohesion, and the empowerment of people. In the context of New Zealand Auckland, a rapidly growing urban center characterized by diverse demographics and significant socioeconomic disparities, the role of the</w:t>
      </w:r>
      <w:r>
        <w:t xml:space="preserve"> </w:t>
      </w:r>
      <w:r>
        <w:rPr>
          <w:bCs/>
          <w:b/>
        </w:rPr>
        <w:t xml:space="preserve">Social Worker</w:t>
      </w:r>
      <w:r>
        <w:t xml:space="preserve"> </w:t>
      </w:r>
      <w:r>
        <w:t xml:space="preserve">has become increasingly critical. This term paper explores the multifaceted responsibilities of social workers within</w:t>
      </w:r>
      <w:r>
        <w:t xml:space="preserve"> </w:t>
      </w:r>
      <w:r>
        <w:rPr>
          <w:bCs/>
          <w:b/>
        </w:rPr>
        <w:t xml:space="preserve">New Zealand Auckland</w:t>
      </w:r>
      <w:r>
        <w:t xml:space="preserve">, examining their interventions in child welfare, mental health support, addiction recovery, and the integration of Te Tiriti o Waitangi principles into practice.</w:t>
      </w:r>
    </w:p>
    <w:p>
      <w:pPr>
        <w:pStyle w:val="BodyText"/>
      </w:pPr>
      <w:r>
        <w:t xml:space="preserve">Auckland is not only New Zealand’s largest city but also one of its most culturally diverse. With a significant Māori and Pasifika population, alongside growing communities from Asia and the Pacific Islands, social workers in this region must navigate complex cultural landscapes. The primary objective of this paper is to analyze how social workers operate within the specific legal and ethical frameworks of</w:t>
      </w:r>
      <w:r>
        <w:t xml:space="preserve"> </w:t>
      </w:r>
      <w:r>
        <w:rPr>
          <w:bCs/>
          <w:b/>
        </w:rPr>
        <w:t xml:space="preserve">New Zealand Auckland</w:t>
      </w:r>
      <w:r>
        <w:t xml:space="preserve">, ensuring that services are both effective and culturally responsive.</w:t>
      </w:r>
    </w:p>
    <w:bookmarkEnd w:id="21"/>
    <w:bookmarkStart w:id="22" w:name="X5cf031878edc39868266385d2a6d59aead544b6"/>
    <w:p>
      <w:pPr>
        <w:pStyle w:val="Heading1"/>
      </w:pPr>
      <w:r>
        <w:t xml:space="preserve">II. Historical Context and Legislative Framework</w:t>
      </w:r>
    </w:p>
    <w:p>
      <w:pPr>
        <w:pStyle w:val="FirstParagraph"/>
      </w:pPr>
      <w:r>
        <w:t xml:space="preserve">To understand the current practice of a</w:t>
      </w:r>
      <w:r>
        <w:t xml:space="preserve"> </w:t>
      </w:r>
      <w:r>
        <w:rPr>
          <w:bCs/>
          <w:b/>
        </w:rPr>
        <w:t xml:space="preserve">Social Worker</w:t>
      </w:r>
      <w:r>
        <w:t xml:space="preserve">, one must consider the legislative environment in New Zealand. The Oranga Tamariki Act 1989 is perhaps the most significant piece of legislation governing child care and protection in</w:t>
      </w:r>
      <w:r>
        <w:t xml:space="preserve"> </w:t>
      </w:r>
      <w:r>
        <w:rPr>
          <w:bCs/>
          <w:b/>
        </w:rPr>
        <w:t xml:space="preserve">New Zealand Auckland</w:t>
      </w:r>
      <w:r>
        <w:t xml:space="preserve">. It places a strong emphasis on family, whānau (family), hapū (sub-tribe), and iwi (tribe) involvement in decision-making processes. This legislation requires social workers to prioritize kinship care and cultural continuity.</w:t>
      </w:r>
    </w:p>
    <w:p>
      <w:pPr>
        <w:pStyle w:val="BodyText"/>
      </w:pPr>
      <w:r>
        <w:t xml:space="preserve">Furthermore, the principles of Te Tiriti o Waitangi—the Treaty of Waitangi—are foundational to social work practice in New Zealand. As articulated in the Social Workers Registration Board (SWRB) Code of Conduct, social workers must engage with tikanga Māori and understand their role as allies to indigenous peoples. In</w:t>
      </w:r>
      <w:r>
        <w:t xml:space="preserve"> </w:t>
      </w:r>
      <w:r>
        <w:rPr>
          <w:bCs/>
          <w:b/>
        </w:rPr>
        <w:t xml:space="preserve">New Zealand Auckland</w:t>
      </w:r>
      <w:r>
        <w:t xml:space="preserve">, where urban Māori populations are substantial, this cultural competency is not optional but a professional necessity.</w:t>
      </w:r>
    </w:p>
    <w:bookmarkEnd w:id="22"/>
    <w:bookmarkStart w:id="27" w:name="Xd550de5b8d080def4ba32557dcbfc5421983e38"/>
    <w:p>
      <w:pPr>
        <w:pStyle w:val="Heading1"/>
      </w:pPr>
      <w:r>
        <w:t xml:space="preserve">III. Key Areas of Practice in New Zealand Auckland</w:t>
      </w:r>
    </w:p>
    <w:bookmarkStart w:id="23" w:name="Xc626a3fc3cac7ef17e6306cfe70400202a7ffd7"/>
    <w:p>
      <w:pPr>
        <w:pStyle w:val="Heading3"/>
      </w:pPr>
      <w:r>
        <w:t xml:space="preserve">A. Child Welfare and Oranga Tamariki Services</w:t>
      </w:r>
    </w:p>
    <w:p>
      <w:pPr>
        <w:pStyle w:val="FirstParagraph"/>
      </w:pPr>
      <w:r>
        <w:t xml:space="preserve">The most visible role of a social worker in</w:t>
      </w:r>
      <w:r>
        <w:t xml:space="preserve"> </w:t>
      </w:r>
      <w:r>
        <w:rPr>
          <w:bCs/>
          <w:b/>
        </w:rPr>
        <w:t xml:space="preserve">New Zealand Auckland</w:t>
      </w:r>
      <w:r>
        <w:t xml:space="preserve"> </w:t>
      </w:r>
      <w:r>
        <w:t xml:space="preserve">is often within the child welfare sector, primarily through engagement with Oranga Tamariki, Ministry for Children. Social workers assess cases of abuse, neglect, or family dysfunction. They work to keep families together where possible through support services such as Home Start or community counseling. When removal from the home is necessary, social workers ensure that placement adheres to the principles of cultural connection and least disruption.</w:t>
      </w:r>
    </w:p>
    <w:bookmarkEnd w:id="23"/>
    <w:bookmarkStart w:id="24" w:name="b.-mental-health-and-addiction-support"/>
    <w:p>
      <w:pPr>
        <w:pStyle w:val="Heading3"/>
      </w:pPr>
      <w:r>
        <w:t xml:space="preserve">B. Mental Health and Addiction Support</w:t>
      </w:r>
    </w:p>
    <w:p>
      <w:pPr>
        <w:pStyle w:val="FirstParagraph"/>
      </w:pPr>
      <w:r>
        <w:t xml:space="preserve">Mental health issues are prevalent in urban centers like Auckland. Social workers play a pivotal role in District Health Boards (DHBs) or through private NGOs such as Plunket, Youthline, and the Mental Health Foundation of NZ. They provide counseling, crisis intervention, and case management for individuals suffering from anxiety, depression, trauma-related disorders (including PTSD from domestic violence), and substance abuse. In</w:t>
      </w:r>
      <w:r>
        <w:t xml:space="preserve"> </w:t>
      </w:r>
      <w:r>
        <w:rPr>
          <w:bCs/>
          <w:b/>
        </w:rPr>
        <w:t xml:space="preserve">New Zealand Auckland</w:t>
      </w:r>
      <w:r>
        <w:t xml:space="preserve">, the rise in opioid use has required social workers to coordinate harm reduction strategies with medical professionals.</w:t>
      </w:r>
    </w:p>
    <w:bookmarkEnd w:id="24"/>
    <w:bookmarkStart w:id="25" w:name="Xbf09ffae721fa0b78ae28ec6a3442b2b943b768"/>
    <w:p>
      <w:pPr>
        <w:pStyle w:val="Heading3"/>
      </w:pPr>
      <w:r>
        <w:t xml:space="preserve">C. Housing and Homelessness Interventions</w:t>
      </w:r>
    </w:p>
    <w:p>
      <w:pPr>
        <w:pStyle w:val="FirstParagraph"/>
      </w:pPr>
      <w:r>
        <w:t xml:space="preserve">Auckland faces a severe housing crisis, which directly impacts social well-being. Social workers are often on the front lines of homelessness services, assisting individuals and families in accessing emergency accommodation through organizations like The Salvation Army or Mission East. They advocate for affordable housing policies while providing case management to help clients secure stable tenancies and access employment opportunities.</w:t>
      </w:r>
    </w:p>
    <w:bookmarkEnd w:id="25"/>
    <w:bookmarkStart w:id="26" w:name="d.-immigration-and-settlement-services"/>
    <w:p>
      <w:pPr>
        <w:pStyle w:val="Heading3"/>
      </w:pPr>
      <w:r>
        <w:t xml:space="preserve">D. Immigration and Settlement Services</w:t>
      </w:r>
    </w:p>
    <w:p>
      <w:pPr>
        <w:pStyle w:val="FirstParagraph"/>
      </w:pPr>
      <w:r>
        <w:t xml:space="preserve">Given Auckland’s status as a hub for immigrants, social workers are integral in settlement services. They assist refugees and migrants in navigating the complexities of New Zealand society, including understanding healthcare systems, education enrollment for children, and legal rights. This work is crucial for integration and combating social isolation among new arrivals.</w:t>
      </w:r>
    </w:p>
    <w:bookmarkEnd w:id="26"/>
    <w:bookmarkEnd w:id="27"/>
    <w:bookmarkStart w:id="28" w:name="iv.-challenges-faced-by-social-workers"/>
    <w:p>
      <w:pPr>
        <w:pStyle w:val="Heading1"/>
      </w:pPr>
      <w:r>
        <w:t xml:space="preserve">IV. Challenges Faced by Social Workers</w:t>
      </w:r>
    </w:p>
    <w:p>
      <w:pPr>
        <w:pStyle w:val="FirstParagraph"/>
      </w:pPr>
      <w:r>
        <w:t xml:space="preserve">Despite the vital importance of their role, social workers in</w:t>
      </w:r>
      <w:r>
        <w:t xml:space="preserve"> </w:t>
      </w:r>
      <w:r>
        <w:rPr>
          <w:bCs/>
          <w:b/>
        </w:rPr>
        <w:t xml:space="preserve">New Zealand Auckland</w:t>
      </w:r>
      <w:r>
        <w:t xml:space="preserve"> </w:t>
      </w:r>
      <w:r>
        <w:t xml:space="preserve">face significant challenges. High caseloads, bureaucratic pressure, and emotional burnout are common issues. The disparity in health and social outcomes between Māori/Pasifika communities and non-indigenous New Zealanders presents an ethical challenge for practitioners who must advocate for systemic change while managing individual cases.</w:t>
      </w:r>
    </w:p>
    <w:p>
      <w:pPr>
        <w:pStyle w:val="BodyText"/>
      </w:pPr>
      <w:r>
        <w:t xml:space="preserve">Additionally, the rapid population growth in Auckland has strained resources. There is often a gap between the demand for services and the available funding, leading to longer waiting times for critical interventions. Social workers must therefore be adept at triage and resource mobilization.</w:t>
      </w:r>
    </w:p>
    <w:bookmarkEnd w:id="28"/>
    <w:bookmarkStart w:id="29" w:name="Xe7ba5a4c258bd9a531d77cee747cf7f7ea0a6cb"/>
    <w:p>
      <w:pPr>
        <w:pStyle w:val="Heading1"/>
      </w:pPr>
      <w:r>
        <w:t xml:space="preserve">V. Ethical Considerations and Professional Standards</w:t>
      </w:r>
    </w:p>
    <w:p>
      <w:pPr>
        <w:pStyle w:val="FirstParagraph"/>
      </w:pPr>
      <w:r>
        <w:t xml:space="preserve">All social workers in New Zealand must be registered with the Social Workers Registration Board (SWRB). The SWRB mandates adherence to a code of ethics that prioritizes human rights, social justice, and professional integrity. In the multicultural context of</w:t>
      </w:r>
      <w:r>
        <w:t xml:space="preserve"> </w:t>
      </w:r>
      <w:r>
        <w:rPr>
          <w:bCs/>
          <w:b/>
        </w:rPr>
        <w:t xml:space="preserve">New Zealand Auckland</w:t>
      </w:r>
      <w:r>
        <w:t xml:space="preserve">, ethical practice requires cultural humility. Practitioners must avoid imposing Western-centric views on clients from diverse backgrounds and instead adopt a strengths-based approach that respects the client’s own narrative and community resources.</w:t>
      </w:r>
    </w:p>
    <w:bookmarkEnd w:id="29"/>
    <w:bookmarkStart w:id="30" w:name="vi.-conclusion"/>
    <w:p>
      <w:pPr>
        <w:pStyle w:val="Heading1"/>
      </w:pPr>
      <w:r>
        <w:t xml:space="preserve">VI. Conclusion</w:t>
      </w:r>
    </w:p>
    <w:p>
      <w:pPr>
        <w:pStyle w:val="FirstParagraph"/>
      </w:pPr>
      <w:r>
        <w:t xml:space="preserve">In conclusion, the role of a</w:t>
      </w:r>
      <w:r>
        <w:t xml:space="preserve"> </w:t>
      </w:r>
      <w:r>
        <w:rPr>
          <w:bCs/>
          <w:b/>
        </w:rPr>
        <w:t xml:space="preserve">Social Worker</w:t>
      </w:r>
      <w:r>
        <w:t xml:space="preserve"> </w:t>
      </w:r>
      <w:r>
        <w:t xml:space="preserve">in</w:t>
      </w:r>
      <w:r>
        <w:t xml:space="preserve"> </w:t>
      </w:r>
      <w:r>
        <w:rPr>
          <w:bCs/>
          <w:b/>
        </w:rPr>
        <w:t xml:space="preserve">New Zealand Auckland</w:t>
      </w:r>
      <w:r>
        <w:t xml:space="preserve"> </w:t>
      </w:r>
      <w:r>
        <w:t xml:space="preserve">is indispensable to the fabric of society. From protecting vulnerable children under the Oranga Tamariki Act to supporting mental health recovery and addressing homelessness, social workers operate at the intersection of individual needs and systemic structures. Their work is deeply informed by the principles of Te Tiriti o Waitangi, ensuring that indigenous rights and cultural identities are respected.</w:t>
      </w:r>
    </w:p>
    <w:p>
      <w:pPr>
        <w:pStyle w:val="BodyText"/>
      </w:pPr>
      <w:r>
        <w:t xml:space="preserve">As Auckland continues to grow in diversity and complexity, the need for skilled, compassionate, and culturally competent social workers will only increase. Future efforts must focus on reducing systemic inequalities and supporting the workforce to prevent burnout. By upholding high professional standards within the unique context of</w:t>
      </w:r>
      <w:r>
        <w:t xml:space="preserve"> </w:t>
      </w:r>
      <w:r>
        <w:rPr>
          <w:bCs/>
          <w:b/>
        </w:rPr>
        <w:t xml:space="preserve">New Zealand Auckland</w:t>
      </w:r>
      <w:r>
        <w:t xml:space="preserve">, social workers continue to drive positive change and foster a more equitable community for all residents.</w:t>
      </w:r>
    </w:p>
    <w:bookmarkEnd w:id="30"/>
    <w:bookmarkStart w:id="31" w:name="vii.-references-simulated"/>
    <w:p>
      <w:pPr>
        <w:pStyle w:val="Heading1"/>
      </w:pPr>
      <w:r>
        <w:t xml:space="preserve">VII. References (Simulated)</w:t>
      </w:r>
    </w:p>
    <w:p>
      <w:pPr>
        <w:numPr>
          <w:ilvl w:val="0"/>
          <w:numId w:val="1001"/>
        </w:numPr>
        <w:pStyle w:val="Compact"/>
      </w:pPr>
      <w:r>
        <w:t xml:space="preserve">Social Workers Registration Board (SWRB). (2023). Code of Conduct. Wellington, NZ.</w:t>
      </w:r>
    </w:p>
    <w:p>
      <w:pPr>
        <w:numPr>
          <w:ilvl w:val="0"/>
          <w:numId w:val="1001"/>
        </w:numPr>
        <w:pStyle w:val="Compact"/>
      </w:pPr>
      <w:r>
        <w:t xml:space="preserve">New Zealand Government. (1989). Oranga Tamariki Act 1989.</w:t>
      </w:r>
    </w:p>
    <w:p>
      <w:pPr>
        <w:numPr>
          <w:ilvl w:val="0"/>
          <w:numId w:val="1001"/>
        </w:numPr>
        <w:pStyle w:val="Compact"/>
      </w:pPr>
      <w:r>
        <w:t xml:space="preserve">Tizard, D., &amp; Howden-Chapman, P. (2016). Housing and Health in Auckland: The Role of Social Determinants.</w:t>
      </w:r>
    </w:p>
    <w:p>
      <w:pPr>
        <w:numPr>
          <w:ilvl w:val="0"/>
          <w:numId w:val="1001"/>
        </w:numPr>
        <w:pStyle w:val="Compact"/>
      </w:pPr>
      <w:r>
        <w:t xml:space="preserve">Auckland Council. (2022). Community Wellbeing Indicators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Social Workers in New Zealand Auckland</dc:title>
  <dc:creator/>
  <dc:language>en</dc:language>
  <cp:keywords/>
  <dcterms:created xsi:type="dcterms:W3CDTF">2026-07-29T19:39:43Z</dcterms:created>
  <dcterms:modified xsi:type="dcterms:W3CDTF">2026-07-29T19:39:43Z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