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Australia</w:t>
      </w:r>
      <w:r>
        <w:t xml:space="preserve"> </w:t>
      </w:r>
      <w:r>
        <w:t xml:space="preserve">Sydney</w:t>
      </w:r>
    </w:p>
    <w:bookmarkStart w:id="28" w:name="Xb90c8631b633cd5af65d510e0b4e1eeb9b4472f"/>
    <w:p>
      <w:pPr>
        <w:pStyle w:val="Heading1"/>
      </w:pPr>
      <w:r>
        <w:t xml:space="preserve">The Evolving Role of the Teacher Primary in Australia Sydney</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Educational Leadership and Pedagogy</w:t>
      </w:r>
      <w:r>
        <w:br/>
      </w:r>
      <w:r>
        <w:rPr>
          <w:bCs/>
          <w:b/>
        </w:rPr>
        <w:t xml:space="preserve">Status:</w:t>
      </w:r>
      <w:r>
        <w:t xml:space="preserve"> </w:t>
      </w:r>
      <w:r>
        <w:t xml:space="preserve">Final Draft</w:t>
      </w:r>
    </w:p>
    <w:bookmarkStart w:id="20" w:name="abstract"/>
    <w:p>
      <w:pPr>
        <w:pStyle w:val="Heading3"/>
      </w:pPr>
      <w:r>
        <w:t xml:space="preserve">Abstract</w:t>
      </w:r>
    </w:p>
    <w:p>
      <w:pPr>
        <w:pStyle w:val="FirstParagraph"/>
      </w:pPr>
      <w:r>
        <w:t xml:space="preserve">This term paper explores the multifaceted role of the Teacher Primary within the educational landscape of Australia Sydney. It examines how modern pedagogical practices, cultural diversity, and technological integration define contemporary primary education in this major metropolitan hub. By analyzing curriculum standards and socio-emotional learning requirements, this document argues that a Teacher Primary must act not only as an instructor but also as a facilitator of inclusive communities tailored to the unique demographic context of Australia Sydney.</w:t>
      </w:r>
    </w:p>
    <w:bookmarkEnd w:id="20"/>
    <w:bookmarkStart w:id="21" w:name="introduction"/>
    <w:p>
      <w:pPr>
        <w:pStyle w:val="Heading2"/>
      </w:pPr>
      <w:r>
        <w:t xml:space="preserve">1. Introduction</w:t>
      </w:r>
    </w:p>
    <w:p>
      <w:pPr>
        <w:pStyle w:val="FirstParagraph"/>
      </w:pPr>
      <w:r>
        <w:t xml:space="preserve">The landscape of primary education is undergoing significant transformation, driven by global technological advancements and shifting societal expectations. In the context of</w:t>
      </w:r>
      <w:r>
        <w:t xml:space="preserve"> </w:t>
      </w:r>
      <w:r>
        <w:rPr>
          <w:bCs/>
          <w:b/>
        </w:rPr>
        <w:t xml:space="preserve">Australia Sydney</w:t>
      </w:r>
      <w:r>
        <w:t xml:space="preserve">, this transformation is particularly pronounced due to the city's status as one of the most multicultural and dynamic urban centers in the Asia-Pacific region. The role of a</w:t>
      </w:r>
      <w:r>
        <w:t xml:space="preserve"> </w:t>
      </w:r>
      <w:r>
        <w:rPr>
          <w:bCs/>
          <w:b/>
        </w:rPr>
        <w:t xml:space="preserve">Teacher Primary</w:t>
      </w:r>
      <w:r>
        <w:t xml:space="preserve"> </w:t>
      </w:r>
      <w:r>
        <w:t xml:space="preserve">has consequently evolved from that of a sole knowledge dispenser to that of a complex educator, mentor, and community builder. This term paper aims to dissect these changes, focusing on how educators in</w:t>
      </w:r>
      <w:r>
        <w:t xml:space="preserve"> </w:t>
      </w:r>
      <w:r>
        <w:rPr>
          <w:bCs/>
          <w:b/>
        </w:rPr>
        <w:t xml:space="preserve">Australia Sydney</w:t>
      </w:r>
      <w:r>
        <w:t xml:space="preserve"> </w:t>
      </w:r>
      <w:r>
        <w:t xml:space="preserve">navigate the challenges and opportunities presented by modern pedagogy.</w:t>
      </w:r>
    </w:p>
    <w:p>
      <w:pPr>
        <w:pStyle w:val="BodyText"/>
      </w:pPr>
      <w:r>
        <w:t xml:space="preserve">In</w:t>
      </w:r>
      <w:r>
        <w:t xml:space="preserve"> </w:t>
      </w:r>
      <w:r>
        <w:rPr>
          <w:bCs/>
          <w:b/>
        </w:rPr>
        <w:t xml:space="preserve">Australia Sydney</w:t>
      </w:r>
      <w:r>
        <w:t xml:space="preserve">, classrooms are microcosms of global diversity. A student in a primary school in Parramatta or Bondi may come from a background ranging from Indigenous Australian heritage to recent migrant families with varying levels of English proficiency. Therefore, the effectiveness of a</w:t>
      </w:r>
      <w:r>
        <w:t xml:space="preserve"> </w:t>
      </w:r>
      <w:r>
        <w:rPr>
          <w:bCs/>
          <w:b/>
        </w:rPr>
        <w:t xml:space="preserve">Teacher Primary</w:t>
      </w:r>
      <w:r>
        <w:t xml:space="preserve"> </w:t>
      </w:r>
      <w:r>
        <w:t xml:space="preserve">is heavily contingent upon their ability to implement culturally responsive teaching practices that respect and integrate these diverse backgrounds into the learning process.</w:t>
      </w:r>
    </w:p>
    <w:bookmarkEnd w:id="21"/>
    <w:bookmarkStart w:id="22" w:name="X4856294b59a3c62a654c105edae7222e5318362"/>
    <w:p>
      <w:pPr>
        <w:pStyle w:val="Heading2"/>
      </w:pPr>
      <w:r>
        <w:t xml:space="preserve">2. The Framework: Curriculum Standards in Australia Sydney</w:t>
      </w:r>
    </w:p>
    <w:p>
      <w:pPr>
        <w:pStyle w:val="FirstParagraph"/>
      </w:pPr>
      <w:r>
        <w:t xml:space="preserve">To understand the demands placed on a</w:t>
      </w:r>
      <w:r>
        <w:t xml:space="preserve"> </w:t>
      </w:r>
      <w:r>
        <w:rPr>
          <w:bCs/>
          <w:b/>
        </w:rPr>
        <w:t xml:space="preserve">Teacher Primary</w:t>
      </w:r>
      <w:r>
        <w:t xml:space="preserve">, one must first understand the structural framework within which they operate. In</w:t>
      </w:r>
      <w:r>
        <w:t xml:space="preserve"> </w:t>
      </w:r>
      <w:r>
        <w:rPr>
          <w:bCs/>
          <w:b/>
        </w:rPr>
        <w:t xml:space="preserve">Australia Sydney</w:t>
      </w:r>
      <w:r>
        <w:t xml:space="preserve">, primary education is largely guided by the Australian Curriculum, which emphasizes literacy and numeracy as foundational skills but increasingly integrates digital literacy, critical thinking, and personal and social capability. For a</w:t>
      </w:r>
      <w:r>
        <w:t xml:space="preserve"> </w:t>
      </w:r>
      <w:r>
        <w:rPr>
          <w:bCs/>
          <w:b/>
        </w:rPr>
        <w:t xml:space="preserve">Teacher Primary</w:t>
      </w:r>
      <w:r>
        <w:t xml:space="preserve">, this means moving beyond rote memorization.</w:t>
      </w:r>
    </w:p>
    <w:p>
      <w:pPr>
        <w:pStyle w:val="BodyText"/>
      </w:pPr>
      <w:r>
        <w:t xml:space="preserve">The curriculum requires that every student achieves specific outcomes in English and Mathematics by the end of Year 6. However, in the competitive educational environment of</w:t>
      </w:r>
      <w:r>
        <w:t xml:space="preserve"> </w:t>
      </w:r>
      <w:r>
        <w:rPr>
          <w:bCs/>
          <w:b/>
        </w:rPr>
        <w:t xml:space="preserve">Australia Sydney</w:t>
      </w:r>
      <w:r>
        <w:t xml:space="preserve">, there is an added pressure to provide enrichment and extension opportunities for high-achieving students while simultaneously providing robust support structures for those who may be struggling. This differentiation requires a</w:t>
      </w:r>
      <w:r>
        <w:t xml:space="preserve"> </w:t>
      </w:r>
      <w:r>
        <w:rPr>
          <w:bCs/>
          <w:b/>
        </w:rPr>
        <w:t xml:space="preserve">Teacher Primary</w:t>
      </w:r>
      <w:r>
        <w:t xml:space="preserve"> </w:t>
      </w:r>
      <w:r>
        <w:t xml:space="preserve">to possess high levels of diagnostic assessment skills, allowing them to tailor instruction to individual learning profiles.</w:t>
      </w:r>
    </w:p>
    <w:bookmarkEnd w:id="22"/>
    <w:bookmarkStart w:id="23" w:name="cultural-competence-and-inclusivity"/>
    <w:p>
      <w:pPr>
        <w:pStyle w:val="Heading2"/>
      </w:pPr>
      <w:r>
        <w:t xml:space="preserve">3. Cultural Competence and Inclusivity</w:t>
      </w:r>
    </w:p>
    <w:p>
      <w:pPr>
        <w:pStyle w:val="FirstParagraph"/>
      </w:pPr>
      <w:r>
        <w:t xml:space="preserve">A defining characteristic of the education sector in</w:t>
      </w:r>
      <w:r>
        <w:t xml:space="preserve"> </w:t>
      </w:r>
      <w:r>
        <w:rPr>
          <w:bCs/>
          <w:b/>
        </w:rPr>
        <w:t xml:space="preserve">Australia Sydney</w:t>
      </w:r>
      <w:r>
        <w:t xml:space="preserve"> </w:t>
      </w:r>
      <w:r>
        <w:t xml:space="preserve">is its commitment to inclusion, particularly regarding Indigenous Australian cultures. The Reconciliation Action Plans (RAPs) adopted by many schools in the region mandate that a</w:t>
      </w:r>
      <w:r>
        <w:t xml:space="preserve"> </w:t>
      </w:r>
      <w:r>
        <w:rPr>
          <w:bCs/>
          <w:b/>
        </w:rPr>
        <w:t xml:space="preserve">Teacher Primary</w:t>
      </w:r>
    </w:p>
    <w:p>
      <w:pPr>
        <w:pStyle w:val="BodyText"/>
      </w:pPr>
      <w:r>
        <w:t xml:space="preserve">This is not merely an additive approach but requires a fundamental shift in perspective for the educator. A competent</w:t>
      </w:r>
      <w:r>
        <w:t xml:space="preserve"> </w:t>
      </w:r>
      <w:r>
        <w:rPr>
          <w:bCs/>
          <w:b/>
        </w:rPr>
        <w:t xml:space="preserve">Teacher Primary</w:t>
      </w:r>
      <w:r>
        <w:t xml:space="preserve"> </w:t>
      </w:r>
      <w:r>
        <w:t xml:space="preserve">must actively work to decolonize the classroom, ensuring that Indigenous perspectives are woven seamlessly into subjects such as history, science, and literature. Furthermore, given the significant population of non-English speaking backgrounds in</w:t>
      </w:r>
      <w:r>
        <w:t xml:space="preserve"> </w:t>
      </w:r>
      <w:r>
        <w:rPr>
          <w:bCs/>
          <w:b/>
        </w:rPr>
        <w:t xml:space="preserve">Australia Sydney</w:t>
      </w:r>
      <w:r>
        <w:t xml:space="preserve">, teachers must employ strategies like scaffolding and visual aids to ensure equity of access for English Language Learners (ELLs). The ability to foster an inclusive environment where every child feels seen and valued is perhaps the most critical attribute of a successful</w:t>
      </w:r>
      <w:r>
        <w:t xml:space="preserve"> </w:t>
      </w:r>
      <w:r>
        <w:rPr>
          <w:bCs/>
          <w:b/>
        </w:rPr>
        <w:t xml:space="preserve">Teacher Primary</w:t>
      </w:r>
      <w:r>
        <w:t xml:space="preserve">.</w:t>
      </w:r>
    </w:p>
    <w:bookmarkEnd w:id="23"/>
    <w:bookmarkStart w:id="24" w:name="X7e0d660e7a18e98af8ad83d1869a64d2b8abae3"/>
    <w:p>
      <w:pPr>
        <w:pStyle w:val="Heading2"/>
      </w:pPr>
      <w:r>
        <w:t xml:space="preserve">4. Technological Integration in the Modern Classroom</w:t>
      </w:r>
    </w:p>
    <w:p>
      <w:pPr>
        <w:pStyle w:val="FirstParagraph"/>
      </w:pPr>
      <w:r>
        <w:t xml:space="preserve">The digital divide has largely been bridged in many schools across</w:t>
      </w:r>
      <w:r>
        <w:t xml:space="preserve"> </w:t>
      </w:r>
      <w:r>
        <w:rPr>
          <w:bCs/>
          <w:b/>
        </w:rPr>
        <w:t xml:space="preserve">Australia Sydney</w:t>
      </w:r>
      <w:r>
        <w:t xml:space="preserve">, with high-speed internet and device integration becoming standard. Consequently, the role of a</w:t>
      </w:r>
      <w:r>
        <w:t xml:space="preserve"> </w:t>
      </w:r>
      <w:r>
        <w:rPr>
          <w:bCs/>
          <w:b/>
        </w:rPr>
        <w:t xml:space="preserve">Teacher Primary</w:t>
      </w:r>
    </w:p>
    <w:p>
      <w:pPr>
        <w:pStyle w:val="BodyText"/>
      </w:pPr>
      <w:r>
        <w:t xml:space="preserve">A modern</w:t>
      </w:r>
      <w:r>
        <w:t xml:space="preserve"> </w:t>
      </w:r>
      <w:r>
        <w:rPr>
          <w:bCs/>
          <w:b/>
        </w:rPr>
        <w:t xml:space="preserve">Teacher PrimaryAustralia Sydney</w:t>
      </w:r>
    </w:p>
    <w:bookmarkEnd w:id="24"/>
    <w:bookmarkStart w:id="25" w:name="well-being-and-mental-health-support"/>
    <w:p>
      <w:pPr>
        <w:pStyle w:val="Heading2"/>
      </w:pPr>
      <w:r>
        <w:t xml:space="preserve">5. Well-being and Mental Health Support</w:t>
      </w:r>
    </w:p>
    <w:p>
      <w:pPr>
        <w:pStyle w:val="FirstParagraph"/>
      </w:pPr>
      <w:r>
        <w:t xml:space="preserve">In recent years, there has been a growing recognition of the link between mental health and academic achievement. In the high-pressure environment of urban education in</w:t>
      </w:r>
      <w:r>
        <w:t xml:space="preserve"> </w:t>
      </w:r>
      <w:r>
        <w:rPr>
          <w:bCs/>
          <w:b/>
        </w:rPr>
        <w:t xml:space="preserve">Australia SydneyTeacher Primary</w:t>
      </w:r>
    </w:p>
    <w:p>
      <w:pPr>
        <w:pStyle w:val="BodyText"/>
      </w:pPr>
      <w:r>
        <w:t xml:space="preserve">Educators are expected to be trained in identifying signs of anxiety, behavioral issues, and social difficulties. They act as first responders for mental health concerns, referring students to counselors when necessary. This holistic approach requires strong communication skills with parents and guardians, particularly in a city like</w:t>
      </w:r>
      <w:r>
        <w:t xml:space="preserve"> </w:t>
      </w:r>
      <w:r>
        <w:rPr>
          <w:bCs/>
          <w:b/>
        </w:rPr>
        <w:t xml:space="preserve">Australia Sydney</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Teacher PrimaryAustralia SydneyAustralia SydneyTeacher Primary</w:t>
      </w:r>
    </w:p>
    <w:bookmarkEnd w:id="26"/>
    <w:bookmarkStart w:id="27" w:name="references"/>
    <w:p>
      <w:pPr>
        <w:pStyle w:val="Heading2"/>
      </w:pPr>
      <w:r>
        <w:t xml:space="preserve">References</w:t>
      </w:r>
    </w:p>
    <w:p>
      <w:pPr>
        <w:pStyle w:val="FirstParagraph"/>
      </w:pPr>
      <w:r>
        <w:t xml:space="preserve">Australian Curriculum, Assessment and Reporting Authority (ACARA). (2023). *The Australian Curriculum: Version 9.0*. Sydney: ACARA.</w:t>
      </w:r>
    </w:p>
    <w:p>
      <w:pPr>
        <w:pStyle w:val="BodyText"/>
      </w:pPr>
      <w:r>
        <w:t xml:space="preserve">New South Wales Department of Education. (2023). *Strategic Plan for NSW Public Education*. Sydney: NSW Government.</w:t>
      </w:r>
    </w:p>
    <w:p>
      <w:pPr>
        <w:pStyle w:val="BodyText"/>
      </w:pPr>
      <w:r>
        <w:t xml:space="preserve">Mouly, K., &amp; Gray, M. (2018). *Teaching in the Primary School*. Melbourne: Oxford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Primary in Australia Sydney</dc:title>
  <dc:creator/>
  <dc:language>en</dc:language>
  <cp:keywords/>
  <dcterms:created xsi:type="dcterms:W3CDTF">2026-07-29T05:54:57Z</dcterms:created>
  <dcterms:modified xsi:type="dcterms:W3CDTF">2026-07-29T05:54:57Z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