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Competencies</w:t>
      </w:r>
      <w:r>
        <w:t xml:space="preserve"> </w:t>
      </w:r>
      <w:r>
        <w:t xml:space="preserve">of</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Germany</w:t>
      </w:r>
      <w:r>
        <w:t xml:space="preserve"> </w:t>
      </w:r>
      <w:r>
        <w:t xml:space="preserve">Berlin</w:t>
      </w:r>
    </w:p>
    <w:bookmarkStart w:id="34" w:name="term-paper"/>
    <w:p>
      <w:pPr>
        <w:pStyle w:val="Heading1"/>
      </w:pPr>
      <w:r>
        <w:t xml:space="preserve">Term Paper</w:t>
      </w:r>
    </w:p>
    <w:p>
      <w:pPr>
        <w:pStyle w:val="FirstParagraph"/>
      </w:pPr>
      <w:r>
        <w:t xml:space="preserve">The Pedagogical and Social Responsibilities of the Primary Teacher in Germany Berlin</w:t>
      </w:r>
    </w:p>
    <w:p>
      <w:pPr>
        <w:pStyle w:val="BodyText"/>
      </w:pPr>
      <w:r>
        <w:rPr>
          <w:bCs/>
          <w:b/>
        </w:rPr>
        <w:t xml:space="preserve">Date:</w:t>
      </w:r>
      <w:r>
        <w:t xml:space="preserve"> </w:t>
      </w:r>
      <w:r>
        <w:t xml:space="preserve">October 26, 2023</w:t>
      </w:r>
      <w:r>
        <w:br/>
      </w:r>
      <w:r>
        <w:rPr>
          <w:bCs/>
          <w:b/>
        </w:rPr>
        <w:t xml:space="preserve">Course:</w:t>
      </w:r>
      <w:r>
        <w:t xml:space="preserve"> </w:t>
      </w:r>
      <w:r>
        <w:t xml:space="preserve">Comparative Education Systems</w:t>
      </w:r>
      <w:r>
        <w:br/>
      </w:r>
    </w:p>
    <w:p>
      <w:pPr>
        <w:pStyle w:val="BodyText"/>
      </w:pPr>
      <w:r>
        <w:t xml:space="preserve">Instructor: </w:t>
      </w:r>
    </w:p>
    <w:p>
      <w:pPr>
        <w:pStyle w:val="BodyText"/>
      </w:pPr>
      <w:r>
        <w:t xml:space="preserve"> </w:t>
      </w:r>
    </w:p>
    <w:bookmarkStart w:id="33" w:name="introduction"/>
    <w:bookmarkStart w:id="20" w:name="introduction"/>
    <w:p>
      <w:pPr>
        <w:pStyle w:val="Heading2"/>
      </w:pPr>
      <w:r>
        <w:t xml:space="preserve">1. Introduction</w:t>
      </w:r>
    </w:p>
    <w:p>
      <w:pPr>
        <w:pStyle w:val="FirstParagraph"/>
      </w:pPr>
      <w:r>
        <w:t xml:space="preserve">The role of a Teacher Primary in the educational landscape is foundational, serving as the architect of cognitive and social development for young children. In the specific context of Germany Berlin, this role is further complicated by unique demographic, historical, and administrative characteristics. As one of Germany's sixteen federal states (Bundesländer), Berlin possesses its own distinct education authority (Senatsverwaltung für Bildung, Jugend und Familie) that dictates curriculum standards, teacher training requirements</w:t>
      </w:r>
      <w:r>
        <w:t xml:space="preserve"> </w:t>
      </w:r>
      <w:r>
        <w:t xml:space="preserve"> </w:t>
      </w:r>
    </w:p>
    <w:p>
      <w:pPr>
        <w:pStyle w:val="BodyText"/>
      </w:pPr>
      <w:r>
        <w:t xml:space="preserve"> </w:t>
      </w:r>
    </w:p>
    <w:bookmarkEnd w:id="20"/>
    <w:bookmarkStart w:id="22" w:name="legal-framework"/>
    <w:bookmarkStart w:id="21" w:name="legal-and-administrative-framework"/>
    <w:p>
      <w:pPr>
        <w:pStyle w:val="Heading2"/>
      </w:pPr>
      <w:r>
        <w:t xml:space="preserve">2. Legal and Administrative Framework</w:t>
      </w:r>
    </w:p>
    <w:p>
      <w:pPr>
        <w:pStyle w:val="FirstParagraph"/>
      </w:pPr>
      <w:r>
        <w:t xml:space="preserve">Unlike many other countries where education is centrally managed by a national government, Germany operates under a system of educational federalism. This means that the</w:t>
      </w:r>
      <w:r>
        <w:t xml:space="preserve"> </w:t>
      </w:r>
      <w:r>
        <w:rPr>
          <w:bCs/>
          <w:b/>
        </w:rPr>
        <w:t xml:space="preserve">Germany Berlin</w:t>
      </w:r>
      <w:r>
        <w:t xml:space="preserve"> </w:t>
      </w:r>
      <w:r>
        <w:t xml:space="preserve">state government holds sovereign power over its school systems. Consequently, a Teacher Primary in this region must navigate specific statutory requirements defined by the Berlin School Act (Berliner Schulgesetz). Unlike other German states such as Bavaria or Baden-Württemberg, Berlin has historically maintained certain distinct policies regarding teacher certification and employment status. While many German teachers are civil servants (Beamte), in</w:t>
      </w:r>
      <w:r>
        <w:t xml:space="preserve"> </w:t>
      </w:r>
      <w:r>
        <w:rPr>
          <w:bCs/>
          <w:b/>
        </w:rPr>
        <w:t xml:space="preserve">Germany Berlin</w:t>
      </w:r>
      <w:r>
        <w:t xml:space="preserve">, primary school teachers are often employed under public service contracts (Angestellte), though reforms continue to shift this dynamic. Understanding these legal nuances is paramount for any educator seeking to practice effectively within the capital city's borders.</w:t>
      </w:r>
    </w:p>
    <w:p>
      <w:pPr>
        <w:pStyle w:val="BodyText"/>
      </w:pPr>
      <w:r>
        <w:t xml:space="preserve">Furthermore, the curriculum in</w:t>
      </w:r>
      <w:r>
        <w:t xml:space="preserve"> </w:t>
      </w:r>
      <w:r>
        <w:rPr>
          <w:bCs/>
          <w:b/>
        </w:rPr>
        <w:t xml:space="preserve">Germany Berlin</w:t>
      </w:r>
      <w:r>
        <w:t xml:space="preserve"> </w:t>
      </w:r>
      <w:r>
        <w:t xml:space="preserve">is guided by specific teaching plans (Lehrpläne) that emphasize not only academic proficiency but also social competence and democratic values. The Teacher Primary must be well-versed in these state-mandated guidelines to ensure that their pedagogical methods align with the broader educational goals set by the Senate.</w:t>
      </w:r>
    </w:p>
    <w:bookmarkEnd w:id="21"/>
    <w:bookmarkEnd w:id="22"/>
    <w:bookmarkStart w:id="24" w:name="demographic-challenges"/>
    <w:bookmarkStart w:id="23" w:name="demographic-diversity-and-inclusion"/>
    <w:p>
      <w:pPr>
        <w:pStyle w:val="Heading2"/>
      </w:pPr>
      <w:r>
        <w:t xml:space="preserve">3. Demographic Diversity and Inclusion</w:t>
      </w:r>
    </w:p>
    <w:p>
      <w:pPr>
        <w:pStyle w:val="FirstParagraph"/>
      </w:pPr>
      <w:r>
        <w:t xml:space="preserve">One of the most defining characteristics of teaching in</w:t>
      </w:r>
      <w:r>
        <w:t xml:space="preserve"> </w:t>
      </w:r>
      <w:r>
        <w:rPr>
          <w:bCs/>
          <w:b/>
        </w:rPr>
        <w:t xml:space="preserve">Germany Berlin</w:t>
      </w:r>
      <w:r>
        <w:t xml:space="preserve"> </w:t>
      </w:r>
    </w:p>
    <w:p>
      <w:pPr>
        <w:pStyle w:val="BodyText"/>
      </w:pPr>
      <w:r>
        <w:t xml:space="preserve"> </w:t>
      </w:r>
    </w:p>
    <w:p>
      <w:pPr>
        <w:pStyle w:val="BodyText"/>
      </w:pPr>
      <w:r>
        <w:t xml:space="preserve">  </w:t>
      </w:r>
    </w:p>
    <w:bookmarkEnd w:id="23"/>
    <w:bookmarkEnd w:id="24"/>
    <w:bookmarkStart w:id="26" w:name="pedagogical-approaches"/>
    <w:bookmarkStart w:id="25" w:name="pedagogical-approaches-and-methodology"/>
    <w:p>
      <w:pPr>
        <w:pStyle w:val="Heading2"/>
      </w:pPr>
      <w:r>
        <w:t xml:space="preserve">4. Pedagogical Approaches and Methodology</w:t>
      </w:r>
    </w:p>
    <w:p>
      <w:pPr>
        <w:pStyle w:val="FirstParagraph"/>
      </w:pPr>
      <w:r>
        <w:t xml:space="preserve">The methodology employed by a Teacher Primary in</w:t>
      </w:r>
      <w:r>
        <w:t xml:space="preserve"> </w:t>
      </w:r>
      <w:r>
        <w:rPr>
          <w:bCs/>
          <w:b/>
        </w:rPr>
        <w:t xml:space="preserve">Germany Berlin</w:t>
      </w:r>
      <w:r>
        <w:t xml:space="preserve"> </w:t>
      </w:r>
    </w:p>
    <w:p>
      <w:pPr>
        <w:pStyle w:val="BodyText"/>
      </w:pPr>
      <w:r>
        <w:t xml:space="preserve"> </w:t>
      </w:r>
    </w:p>
    <w:p>
      <w:pPr>
        <w:pStyle w:val="BodyText"/>
      </w:pPr>
      <w:r>
        <w:t xml:space="preserve">   </w:t>
      </w:r>
    </w:p>
    <w:bookmarkEnd w:id="25"/>
    <w:bookmarkEnd w:id="26"/>
    <w:bookmarkStart w:id="28" w:name="social-emotional-learning"/>
    <w:bookmarkStart w:id="27" w:name="X5caa0a0287d0f06f8dac1fa2c748bafd2c319d5"/>
    <w:p>
      <w:pPr>
        <w:pStyle w:val="Heading2"/>
      </w:pPr>
      <w:r>
        <w:t xml:space="preserve">5. Social-Emotional Learning and Conflict Resolution</w:t>
      </w:r>
    </w:p>
    <w:p>
      <w:pPr>
        <w:pStyle w:val="FirstParagraph"/>
      </w:pPr>
      <w:r>
        <w:t xml:space="preserve">Beyond academic instruction, the Teacher Primary in</w:t>
      </w:r>
      <w:r>
        <w:t xml:space="preserve"> </w:t>
      </w:r>
      <w:r>
        <w:rPr>
          <w:bCs/>
          <w:b/>
        </w:rPr>
        <w:t xml:space="preserve">Germany Berlin</w:t>
      </w:r>
      <w:r>
        <w:t xml:space="preserve"> </w:t>
      </w:r>
    </w:p>
    <w:p>
      <w:pPr>
        <w:pStyle w:val="BodyText"/>
      </w:pPr>
      <w:r>
        <w:t xml:space="preserve"> </w:t>
      </w:r>
    </w:p>
    <w:p>
      <w:pPr>
        <w:pStyle w:val="BodyText"/>
      </w:pPr>
      <w:r>
        <w:t xml:space="preserve">   </w:t>
      </w:r>
    </w:p>
    <w:bookmarkEnd w:id="27"/>
    <w:bookmarkEnd w:id="28"/>
    <w:bookmarkStart w:id="30" w:name="professional-development"/>
    <w:bookmarkStart w:id="29" w:name="X2c4c7aff83bb991f4b73967d1c0036085ae2881"/>
    <w:p>
      <w:pPr>
        <w:pStyle w:val="Heading2"/>
      </w:pPr>
      <w:r>
        <w:t xml:space="preserve">6. Professional Development and Continuous Learning</w:t>
      </w:r>
    </w:p>
    <w:p>
      <w:pPr>
        <w:pStyle w:val="FirstParagraph"/>
      </w:pPr>
      <w:r>
        <w:t xml:space="preserve">The educational landscape in</w:t>
      </w:r>
      <w:r>
        <w:t xml:space="preserve"> </w:t>
      </w:r>
      <w:r>
        <w:rPr>
          <w:bCs/>
          <w:b/>
        </w:rPr>
        <w:t xml:space="preserve">Germany Berlin</w:t>
      </w:r>
      <w:r>
        <w:t xml:space="preserve"> </w:t>
      </w:r>
    </w:p>
    <w:p>
      <w:pPr>
        <w:pStyle w:val="BodyText"/>
      </w:pPr>
      <w:r>
        <w:t xml:space="preserve"> </w:t>
      </w:r>
    </w:p>
    <w:p>
      <w:pPr>
        <w:pStyle w:val="BodyText"/>
      </w:pPr>
      <w:r>
        <w:t xml:space="preserve">   </w:t>
      </w:r>
    </w:p>
    <w:bookmarkEnd w:id="29"/>
    <w:bookmarkEnd w:id="30"/>
    <w:bookmarkStart w:id="31" w:name="conclusion"/>
    <w:p>
      <w:pPr>
        <w:pStyle w:val="Heading2"/>
      </w:pPr>
      <w:r>
        <w:t xml:space="preserve">7. Conclusion</w:t>
      </w:r>
    </w:p>
    <w:p>
      <w:pPr>
        <w:pStyle w:val="FirstParagraph"/>
      </w:pPr>
      <w:r>
        <w:t xml:space="preserve">In conclusion, the position of a Teacher Primary in</w:t>
      </w:r>
      <w:r>
        <w:t xml:space="preserve"> </w:t>
      </w:r>
      <w:r>
        <w:rPr>
          <w:bCs/>
          <w:b/>
        </w:rPr>
        <w:t xml:space="preserve">Germany Berlin</w:t>
      </w:r>
      <w:r>
        <w:t xml:space="preserve"> </w:t>
      </w:r>
    </w:p>
    <w:p>
      <w:pPr>
        <w:pStyle w:val="BodyText"/>
      </w:pPr>
      <w:r>
        <w:t xml:space="preserve"> </w:t>
      </w:r>
    </w:p>
    <w:p>
      <w:pPr>
        <w:pStyle w:val="BodyText"/>
      </w:pPr>
      <w:r>
        <w:t xml:space="preserve">   </w:t>
      </w:r>
    </w:p>
    <w:bookmarkEnd w:id="31"/>
    <w:bookmarkStart w:id="32" w:name="references"/>
    <w:p>
      <w:pPr>
        <w:pStyle w:val="Heading2"/>
      </w:pPr>
      <w:r>
        <w:t xml:space="preserve">8. References</w:t>
      </w:r>
    </w:p>
    <w:p>
      <w:pPr>
        <w:numPr>
          <w:ilvl w:val="0"/>
          <w:numId w:val="1001"/>
        </w:numPr>
        <w:pStyle w:val="Compact"/>
      </w:pPr>
      <w:r>
        <w:t xml:space="preserve">Senate of Berlin. (2019). *Berliner Schulgesetz* [Berlin School Act]. Berlin: Senatsverwaltung für Justiz und Verbraucherschutz.</w:t>
      </w:r>
    </w:p>
    <w:p>
      <w:pPr>
        <w:numPr>
          <w:ilvl w:val="0"/>
          <w:numId w:val="1001"/>
        </w:numPr>
        <w:pStyle w:val="Compact"/>
      </w:pPr>
      <w:r>
        <w:t xml:space="preserve">Kultusministerkonferenz. (2021). *Bildungsstandards im Fach Deutsch für den Primarbereich*. Köln: Luchterhand.</w:t>
      </w:r>
    </w:p>
    <w:p>
      <w:pPr>
        <w:numPr>
          <w:ilvl w:val="0"/>
          <w:numId w:val="1001"/>
        </w:numPr>
        <w:pStyle w:val="Compact"/>
      </w:pPr>
      <w:r>
        <w:t xml:space="preserve">Berlin Institute for Educational Quality Improvement (ISI Berlin). (2022). *Jahresbericht 2021 zur Schulqualität in Berlin*. Berlin: ISI.</w:t>
      </w:r>
    </w:p>
    <w:p>
      <w:pPr>
        <w:numPr>
          <w:ilvl w:val="0"/>
          <w:numId w:val="1001"/>
        </w:numPr>
        <w:pStyle w:val="Compact"/>
      </w:pPr>
      <w:r>
        <w:t xml:space="preserve">Holtappels, H. F., &amp; Niebaum, H. (Eds.). (2018). *Handbuch Schulentwicklung*. Wiesbaden: Springer Fachmedien.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Competencies of a Primary Teacher in Germany Berlin</dc:title>
  <dc:creator/>
  <dc:language>en</dc:language>
  <cp:keywords/>
  <dcterms:created xsi:type="dcterms:W3CDTF">2026-07-29T07:55:20Z</dcterms:created>
  <dcterms:modified xsi:type="dcterms:W3CDTF">2026-07-29T07:55:20Z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