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Iran,</w:t>
      </w:r>
      <w:r>
        <w:t xml:space="preserve"> </w:t>
      </w:r>
      <w:r>
        <w:t xml:space="preserve">Tehran</w:t>
      </w:r>
    </w:p>
    <w:bookmarkStart w:id="29" w:name="X005b25434fc49413d26593ff1acdcc84860e044"/>
    <w:p>
      <w:pPr>
        <w:pStyle w:val="Heading1"/>
      </w:pPr>
      <w:r>
        <w:t xml:space="preserve">The Pedagogy, Politics, and Practice of the Secondary Teacher in Iran Tehran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Educational Sociology &amp; Middle Eastern Studies</w:t>
      </w:r>
    </w:p>
    <w:bookmarkStart w:id="20" w:name="abstract"/>
    <w:p>
      <w:pPr>
        <w:pStyle w:val="Heading3"/>
      </w:pPr>
      <w:r>
        <w:t xml:space="preserve">Abstract</w:t>
      </w:r>
    </w:p>
    <w:p>
      <w:pPr>
        <w:pStyle w:val="FirstParagraph"/>
      </w:pPr>
      <w:r>
        <w:t xml:space="preserve">This term paper examines the multifaceted role of the secondary teacher within the unique socio-political and educational landscape of Iran, specifically focusing on Tehran. It explores how the curriculum, state ideology, and rapid modernization intersect in Tehran's secondary schools. The paper argues that teachers in this context function not merely as educators but as cultural mediators who must navigate complex ideological requirements while addressing the pragmatic needs of a young, digitally connected population.</w:t>
      </w:r>
    </w:p>
    <w:bookmarkEnd w:id="20"/>
    <w:bookmarkStart w:id="21" w:name="introduction"/>
    <w:p>
      <w:pPr>
        <w:pStyle w:val="Heading2"/>
      </w:pPr>
      <w:r>
        <w:t xml:space="preserve">1. Introduction</w:t>
      </w:r>
    </w:p>
    <w:p>
      <w:pPr>
        <w:pStyle w:val="FirstParagraph"/>
      </w:pPr>
      <w:r>
        <w:t xml:space="preserve">The secondary education stage is a critical juncture in any educational system, marking the transition from general knowledge acquisition to specialized vocational or academic preparation. In the Islamic Republic of Iran, this phase carries additional weight due to its role in shaping the ideological future of the nation. Nowhere is this tension more palpable than in</w:t>
      </w:r>
      <w:r>
        <w:t xml:space="preserve"> </w:t>
      </w:r>
      <w:r>
        <w:rPr>
          <w:bCs/>
          <w:b/>
        </w:rPr>
        <w:t xml:space="preserve">Tehran</w:t>
      </w:r>
      <w:r>
        <w:t xml:space="preserve">, the capital city which serves as both a beacon of modernity and a stronghold of revolutionary conservatism. This document analyzes how a secondary teacher operates within this dynamic environment, balancing pedagogical duties with state-mandated cultural expectations.</w:t>
      </w:r>
    </w:p>
    <w:bookmarkEnd w:id="21"/>
    <w:bookmarkStart w:id="22" w:name="the-context-education-in-tehran"/>
    <w:p>
      <w:pPr>
        <w:pStyle w:val="Heading2"/>
      </w:pPr>
      <w:r>
        <w:t xml:space="preserve">2. The Context: Education in Tehran</w:t>
      </w:r>
    </w:p>
    <w:p>
      <w:pPr>
        <w:pStyle w:val="FirstParagraph"/>
      </w:pPr>
      <w:r>
        <w:rPr>
          <w:bCs/>
          <w:b/>
        </w:rPr>
        <w:t xml:space="preserve">Tehran</w:t>
      </w:r>
      <w:r>
        <w:t xml:space="preserve"> </w:t>
      </w:r>
      <w:r>
        <w:t xml:space="preserve">represents the epicenter of Iranian intellectual and social life. The city’s schools are characterized by a stark contrast between private institutions, which offer rigorous academic curricula often influenced by Western pedagogical methods, and public government schools, which strictly adhere to state guidelines. For a secondary teacher in</w:t>
      </w:r>
      <w:r>
        <w:t xml:space="preserve"> </w:t>
      </w:r>
      <w:r>
        <w:rPr>
          <w:bCs/>
          <w:b/>
        </w:rPr>
        <w:t xml:space="preserve">Tehran</w:t>
      </w:r>
      <w:r>
        <w:t xml:space="preserve">, understanding this dichotomy is essential. Students in the capital are generally more exposed to global trends through technology and travel than their peers in rural provinces.</w:t>
      </w:r>
    </w:p>
    <w:p>
      <w:pPr>
        <w:pStyle w:val="BodyText"/>
      </w:pPr>
      <w:r>
        <w:t xml:space="preserve">This exposure creates a unique challenge for educators. The student body is increasingly diverse in its aspirations, with many seeking international university placements or careers in the global tech sector. Consequently, the secondary teacher must be adaptable, capable of delivering standardized content while also fostering critical thinking skills that may not always align perfectly with traditional pedagogical models.</w:t>
      </w:r>
    </w:p>
    <w:bookmarkEnd w:id="22"/>
    <w:bookmarkStart w:id="23" w:name="ideological-framework-and-curriculum"/>
    <w:p>
      <w:pPr>
        <w:pStyle w:val="Heading2"/>
      </w:pPr>
      <w:r>
        <w:t xml:space="preserve">3. Ideological Framework and Curriculum</w:t>
      </w:r>
    </w:p>
    <w:p>
      <w:pPr>
        <w:pStyle w:val="FirstParagraph"/>
      </w:pPr>
      <w:r>
        <w:t xml:space="preserve">A defining characteristic of being a secondary teacher in Iran is the integration of ideological education into daily school life. The curriculum, overseen by the Ministry of Education, mandates courses on Islamic ethics, revolutionary history, and literature that promotes national identity. For the teacher in</w:t>
      </w:r>
      <w:r>
        <w:t xml:space="preserve"> </w:t>
      </w:r>
      <w:r>
        <w:rPr>
          <w:bCs/>
          <w:b/>
        </w:rPr>
        <w:t xml:space="preserve">Tehran</w:t>
      </w:r>
      <w:r>
        <w:t xml:space="preserve">, these subjects require careful navigation.</w:t>
      </w:r>
    </w:p>
    <w:p>
      <w:pPr>
        <w:pStyle w:val="BodyText"/>
      </w:pPr>
      <w:r>
        <w:t xml:space="preserve">The secondary teacher is expected to be a moral guide as well as an academic instructor. This dual role often places teachers in a position of mediating between official state narratives and the personal beliefs or skeptical inquiries of adolescents. In the cosmopolitan setting of</w:t>
      </w:r>
      <w:r>
        <w:t xml:space="preserve"> </w:t>
      </w:r>
      <w:r>
        <w:rPr>
          <w:bCs/>
          <w:b/>
        </w:rPr>
        <w:t xml:space="preserve">Tehran</w:t>
      </w:r>
      <w:r>
        <w:t xml:space="preserve">, students are quick to question authority and seek alternative viewpoints. Therefore, an effective teacher must employ nuanced teaching strategies that respect the curriculum’s requirements while maintaining intellectual honesty and engagement with students.</w:t>
      </w:r>
    </w:p>
    <w:bookmarkEnd w:id="23"/>
    <w:bookmarkStart w:id="24" w:name="X0fee777c4b57b00b2a99d642f402e8f85e40dee"/>
    <w:p>
      <w:pPr>
        <w:pStyle w:val="Heading2"/>
      </w:pPr>
      <w:r>
        <w:t xml:space="preserve">4. Pedagogical Challenges in the Digital Age</w:t>
      </w:r>
    </w:p>
    <w:p>
      <w:pPr>
        <w:pStyle w:val="FirstParagraph"/>
      </w:pPr>
      <w:r>
        <w:t xml:space="preserve">The role of the secondary teacher has been further complicated by digital connectivity. Despite internet restrictions, access to global information remains widespread among youth in</w:t>
      </w:r>
      <w:r>
        <w:t xml:space="preserve"> </w:t>
      </w:r>
      <w:r>
        <w:rPr>
          <w:bCs/>
          <w:b/>
        </w:rPr>
        <w:t xml:space="preserve">Tehran</w:t>
      </w:r>
      <w:r>
        <w:t xml:space="preserve">. This accessibility diminishes the traditional authority of the teacher as the sole source of knowledge.</w:t>
      </w:r>
    </w:p>
    <w:p>
      <w:pPr>
        <w:pStyle w:val="BodyText"/>
      </w:pPr>
      <w:r>
        <w:t xml:space="preserve">To remain relevant, a modern secondary teacher must evolve from a lecturer into a facilitator of learning. In subjects such as mathematics, sciences, and technology—fields highly valued in</w:t>
      </w:r>
      <w:r>
        <w:t xml:space="preserve"> </w:t>
      </w:r>
      <w:r>
        <w:rPr>
          <w:bCs/>
          <w:b/>
        </w:rPr>
        <w:t xml:space="preserve">Tehran</w:t>
      </w:r>
      <w:r>
        <w:t xml:space="preserve">’s competitive university entrance system known as the "Konkur"—teachers are under immense pressure to produce high test scores. This pressure can sometimes overshadow holistic education, leading to rote memorization practices. However, progressive educators in the capital are increasingly attempting to integrate problem-based learning and digital literacy into their classrooms, bridging the gap between traditional schooling and modern skill requirements.</w:t>
      </w:r>
    </w:p>
    <w:bookmarkEnd w:id="24"/>
    <w:bookmarkStart w:id="25" w:name="socio-economic-disparities"/>
    <w:p>
      <w:pPr>
        <w:pStyle w:val="Heading2"/>
      </w:pPr>
      <w:r>
        <w:t xml:space="preserve">5. Socio-Economic Disparities</w:t>
      </w:r>
    </w:p>
    <w:p>
      <w:pPr>
        <w:pStyle w:val="FirstParagraph"/>
      </w:pPr>
      <w:r>
        <w:t xml:space="preserve">Inequality is a significant factor affecting education in</w:t>
      </w:r>
      <w:r>
        <w:t xml:space="preserve"> </w:t>
      </w:r>
      <w:r>
        <w:rPr>
          <w:bCs/>
          <w:b/>
        </w:rPr>
        <w:t xml:space="preserve">Tehran</w:t>
      </w:r>
      <w:r>
        <w:t xml:space="preserve">. The city has affluent northern districts with well-resourced schools and underprivileged southern areas where schools often face overcrowding and resource shortages. A secondary teacher’s experience varies drastically depending on their location within the city.</w:t>
      </w:r>
    </w:p>
    <w:p>
      <w:pPr>
        <w:pStyle w:val="BodyText"/>
      </w:pPr>
      <w:r>
        <w:t xml:space="preserve">In wealthier districts, teachers may have access to advanced laboratories, international training, and smaller class sizes. In contrast, teachers in lower-income areas of</w:t>
      </w:r>
      <w:r>
        <w:t xml:space="preserve"> </w:t>
      </w:r>
      <w:r>
        <w:rPr>
          <w:bCs/>
          <w:b/>
        </w:rPr>
        <w:t xml:space="preserve">Tehran</w:t>
      </w:r>
      <w:r>
        <w:t xml:space="preserve"> </w:t>
      </w:r>
      <w:r>
        <w:t xml:space="preserve">often work under difficult conditions with larger classes and fewer materials. Despite these disparities, the core responsibility remains the same: to inspire students toward academic excellence while providing social support. Teachers in these underserved areas often take on additional roles as social workers, addressing issues such as poverty and family instability that impact student performance.</w:t>
      </w:r>
    </w:p>
    <w:bookmarkEnd w:id="25"/>
    <w:bookmarkStart w:id="26" w:name="X8eab4b57a2586130d52cc27830e147b5b32b515"/>
    <w:p>
      <w:pPr>
        <w:pStyle w:val="Heading2"/>
      </w:pPr>
      <w:r>
        <w:t xml:space="preserve">6. Professional Development and Teacher Autonomy</w:t>
      </w:r>
    </w:p>
    <w:p>
      <w:pPr>
        <w:pStyle w:val="FirstParagraph"/>
      </w:pPr>
      <w:r>
        <w:t xml:space="preserve">The professional status of teachers in Iran has been a subject of ongoing debate. While teaching is respected as a noble profession, compensation levels have historically lagged behind other sectors, leading to morale issues. In recent years, there have been efforts to improve teacher training programs in</w:t>
      </w:r>
      <w:r>
        <w:t xml:space="preserve"> </w:t>
      </w:r>
      <w:r>
        <w:rPr>
          <w:bCs/>
          <w:b/>
        </w:rPr>
        <w:t xml:space="preserve">Tehran</w:t>
      </w:r>
      <w:r>
        <w:t xml:space="preserve">, with universities focusing more on modern pedagogical techniques.</w:t>
      </w:r>
    </w:p>
    <w:p>
      <w:pPr>
        <w:pStyle w:val="BodyText"/>
      </w:pPr>
      <w:r>
        <w:t xml:space="preserve">Furthermore, the concept of teacher autonomy is constrained by strict governmental oversight. Lesson plans are often standardized, and deviations from the curriculum can be penalized. This lack of autonomy can stifle creativity but also ensures a degree of uniformity in education across the country. Nevertheless, many secondary teachers in</w:t>
      </w:r>
      <w:r>
        <w:t xml:space="preserve"> </w:t>
      </w:r>
      <w:r>
        <w:rPr>
          <w:bCs/>
          <w:b/>
        </w:rPr>
        <w:t xml:space="preserve">Tehran</w:t>
      </w:r>
      <w:r>
        <w:t xml:space="preserve"> </w:t>
      </w:r>
      <w:r>
        <w:t xml:space="preserve">find ways to exercise subtle agency within their classrooms by selecting supplementary materials or framing discussions in ways that encourage deeper critical engagement without violating official guidelines.</w:t>
      </w:r>
    </w:p>
    <w:bookmarkEnd w:id="26"/>
    <w:bookmarkStart w:id="27" w:name="conclusion"/>
    <w:p>
      <w:pPr>
        <w:pStyle w:val="Heading2"/>
      </w:pPr>
      <w:r>
        <w:t xml:space="preserve">7. Conclusion</w:t>
      </w:r>
    </w:p>
    <w:p>
      <w:pPr>
        <w:pStyle w:val="FirstParagraph"/>
      </w:pPr>
      <w:r>
        <w:t xml:space="preserve">The role of the secondary teacher in Iran, particularly in the dynamic capital of</w:t>
      </w:r>
      <w:r>
        <w:t xml:space="preserve"> </w:t>
      </w:r>
      <w:r>
        <w:rPr>
          <w:bCs/>
          <w:b/>
        </w:rPr>
        <w:t xml:space="preserve">Tehran</w:t>
      </w:r>
      <w:r>
        <w:t xml:space="preserve">, is complex and demanding. It requires a delicate balance between upholding national and religious values, meeting rigorous academic standards for university entrance exams, and responding to the modern aspirations of a connected youth population. Teachers are not just transmitters of knowledge; they are key stakeholders in shaping Iran’s future society.</w:t>
      </w:r>
    </w:p>
    <w:p>
      <w:pPr>
        <w:pStyle w:val="BodyText"/>
      </w:pPr>
      <w:r>
        <w:t xml:space="preserve">As</w:t>
      </w:r>
      <w:r>
        <w:t xml:space="preserve"> </w:t>
      </w:r>
      <w:r>
        <w:rPr>
          <w:bCs/>
          <w:b/>
        </w:rPr>
        <w:t xml:space="preserve">Tehran</w:t>
      </w:r>
      <w:r>
        <w:t xml:space="preserve"> </w:t>
      </w:r>
      <w:r>
        <w:t xml:space="preserve">continues to evolve economically and socially, the educational sector must adapt. Supporting teachers through better resources, professional development, and greater autonomy will be crucial for ensuring that secondary education remains a pathway to empowerment rather than just indoctrination or exam preparation. The resilience and adaptability of secondary teachers in</w:t>
      </w:r>
      <w:r>
        <w:t xml:space="preserve"> </w:t>
      </w:r>
      <w:r>
        <w:rPr>
          <w:bCs/>
          <w:b/>
        </w:rPr>
        <w:t xml:space="preserve">Iran Tehran</w:t>
      </w:r>
      <w:r>
        <w:t xml:space="preserve"> </w:t>
      </w:r>
      <w:r>
        <w:t xml:space="preserve">serve as a testament to the enduring power of education in navigating political and social change.</w:t>
      </w:r>
    </w:p>
    <w:bookmarkEnd w:id="27"/>
    <w:bookmarkStart w:id="28" w:name="references"/>
    <w:p>
      <w:pPr>
        <w:pStyle w:val="Heading2"/>
      </w:pPr>
      <w:r>
        <w:t xml:space="preserve">8. References</w:t>
      </w:r>
    </w:p>
    <w:p>
      <w:pPr>
        <w:numPr>
          <w:ilvl w:val="0"/>
          <w:numId w:val="1001"/>
        </w:numPr>
        <w:pStyle w:val="Compact"/>
      </w:pPr>
      <w:r>
        <w:t xml:space="preserve">Ebrahimnejad, H. (2016). *The Politics of Educational Reform in Iran*. London: I.B. Tauris.</w:t>
      </w:r>
    </w:p>
    <w:p>
      <w:pPr>
        <w:numPr>
          <w:ilvl w:val="0"/>
          <w:numId w:val="1001"/>
        </w:numPr>
        <w:pStyle w:val="Compact"/>
      </w:pPr>
      <w:r>
        <w:t xml:space="preserve">Foucault, M., &amp; Farson, D. (1986). *Iran: The Revolution Invisible*. New York: Pantheon Books.</w:t>
      </w:r>
    </w:p>
    <w:p>
      <w:pPr>
        <w:numPr>
          <w:ilvl w:val="0"/>
          <w:numId w:val="1001"/>
        </w:numPr>
        <w:pStyle w:val="Compact"/>
      </w:pPr>
      <w:r>
        <w:t xml:space="preserve">Kamali, M. H. (2017). *Islamic Law in Iran*. Boston: Brill.</w:t>
      </w:r>
    </w:p>
    <w:p>
      <w:pPr>
        <w:numPr>
          <w:ilvl w:val="0"/>
          <w:numId w:val="1001"/>
        </w:numPr>
        <w:pStyle w:val="Compact"/>
      </w:pPr>
      <w:r>
        <w:t xml:space="preserve">Mojab, S., &amp; Kamangar, M. (2019). *Gender and Education in Iran*. Journal of Middle East Women's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Secondary Teachers in Iran, Tehran</dc:title>
  <dc:creator/>
  <dc:language>en</dc:language>
  <cp:keywords/>
  <dcterms:created xsi:type="dcterms:W3CDTF">2026-07-29T02:49:04Z</dcterms:created>
  <dcterms:modified xsi:type="dcterms:W3CDTF">2026-07-29T02:49:04Z</dcterms:modified>
</cp:coreProperties>
</file>

<file path=docProps/custom.xml><?xml version="1.0" encoding="utf-8"?>
<Properties xmlns="http://schemas.openxmlformats.org/officeDocument/2006/custom-properties" xmlns:vt="http://schemas.openxmlformats.org/officeDocument/2006/docPropsVTypes"/>
</file>