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4363d30d14df25ec4bc78231fdd59ddbd2223e8"/>
    <w:p>
      <w:pPr>
        <w:pStyle w:val="Heading1"/>
      </w:pPr>
      <w:r>
        <w:t xml:space="preserve">The Evolving Role of the Secondary Teacher in New Zealand Auckland</w:t>
      </w:r>
    </w:p>
    <w:p>
      <w:pPr>
        <w:pStyle w:val="FirstParagraph"/>
      </w:pPr>
      <w:r>
        <w:br/>
      </w:r>
    </w:p>
    <w:p>
      <w:pPr>
        <w:pStyle w:val="BodyText"/>
      </w:pPr>
      <w:r>
        <w:rPr>
          <w:bCs/>
          <w:b/>
        </w:rPr>
        <w:t xml:space="preserve">A Term Paper Submission on Educational Leadership, Pedagogy, and Cultural Responsiveness</w:t>
      </w:r>
    </w:p>
    <w:p>
      <w:pPr>
        <w:pStyle w:val="BodyText"/>
      </w:pPr>
      <w:r>
        <w:t xml:space="preserve">***</w:t>
      </w:r>
    </w:p>
    <w:bookmarkStart w:id="20" w:name="X28cf020a9edc53d1cfbb2033c0cf6237e22359e"/>
    <w:p>
      <w:pPr>
        <w:pStyle w:val="Heading2"/>
      </w:pPr>
      <w:r>
        <w:t xml:space="preserve">I. Introduction: The Context of Education in Auckland</w:t>
      </w:r>
    </w:p>
    <w:p>
      <w:pPr>
        <w:pStyle w:val="FirstParagraph"/>
      </w:pPr>
      <w:r>
        <w:t xml:space="preserve">The landscape of secondary education in New Zealand is undergoing a profound transformation, driven by demographic shifts, technological advancement, and an increasing emphasis on social cohesion. Within this national context,</w:t>
      </w:r>
      <w:r>
        <w:t xml:space="preserve"> </w:t>
      </w:r>
      <w:r>
        <w:rPr>
          <w:bCs/>
          <w:b/>
        </w:rPr>
        <w:t xml:space="preserve">New Zealand Auckland</w:t>
      </w:r>
      <w:r>
        <w:t xml:space="preserve"> </w:t>
      </w:r>
      <w:r>
        <w:t xml:space="preserve">stands out as a critical epicenter for educational innovation and challenge. As the largest city in Aotearoa New Zealand with one of the most diverse populations globally, Auckland presents a unique microcosm of societal dynamics that directly impact classroom environments. Consequently, the role of the</w:t>
      </w:r>
      <w:r>
        <w:t xml:space="preserve"> </w:t>
      </w:r>
      <w:r>
        <w:rPr>
          <w:bCs/>
          <w:b/>
        </w:rPr>
        <w:t xml:space="preserve">Teacher Secondary</w:t>
      </w:r>
      <w:r>
        <w:t xml:space="preserve"> </w:t>
      </w:r>
      <w:r>
        <w:t xml:space="preserve">has evolved from being merely a conduit of curriculum delivery to becoming a facilitator of cultural identity, digital literacy, and holistic wellbeing. This term paper explores the multifaceted responsibilities and challenges facing secondary teachers in Auckland today, arguing that effective teaching requires a deep integration of Te Tiriti o Waitangi principles, inclusive pedagogy for diverse learners, and adaptive instructional strategies.</w:t>
      </w:r>
    </w:p>
    <w:bookmarkEnd w:id="20"/>
    <w:bookmarkStart w:id="21" w:name="X8de157f4cf6965a2a3c83e15640a2e6ba5fc3ab"/>
    <w:p>
      <w:pPr>
        <w:pStyle w:val="Heading2"/>
      </w:pPr>
      <w:r>
        <w:t xml:space="preserve">II. Cultural Responsiveness and Te Tiriti o Waitangi</w:t>
      </w:r>
    </w:p>
    <w:p>
      <w:pPr>
        <w:pStyle w:val="FirstParagraph"/>
      </w:pPr>
      <w:r>
        <w:t xml:space="preserve">A central pillar of the modern</w:t>
      </w:r>
      <w:r>
        <w:t xml:space="preserve"> </w:t>
      </w:r>
      <w:r>
        <w:rPr>
          <w:bCs/>
          <w:b/>
        </w:rPr>
        <w:t xml:space="preserve">New Zealand Auckland</w:t>
      </w:r>
      <w:r>
        <w:t xml:space="preserve"> </w:t>
      </w:r>
      <w:r>
        <w:t xml:space="preserve">educational framework is the implementation of Te Tiriti o Waitangi (The Treaty of Waitangi). For secondary teachers, this is not merely a legal compliance issue but a fundamental pedagogical requirement. Auckland’s student body is characterized by significant ethnic diversity, with substantial Māori and Pasifika populations alongside growing communities from Asia and other Pacific nations. Therefore, the</w:t>
      </w:r>
      <w:r>
        <w:t xml:space="preserve"> </w:t>
      </w:r>
      <w:r>
        <w:rPr>
          <w:bCs/>
          <w:b/>
        </w:rPr>
        <w:t xml:space="preserve">Teacher Secondary</w:t>
      </w:r>
      <w:r>
        <w:t xml:space="preserve"> </w:t>
      </w:r>
      <w:r>
        <w:t xml:space="preserve">must adopt culturally responsive teaching methods that validate and incorporate students’ cultural backgrounds into the learning process.</w:t>
      </w:r>
      <w:r>
        <w:t xml:space="preserve"> </w:t>
      </w:r>
      <w:r>
        <w:t xml:space="preserve">This involves moving beyond tokenistic gestures toward genuine partnership with whānau (families) and local iwi (tribes). Teachers are expected to integrate te reo Māori (the Māori language) and tikanga (customs) across various subjects, not just in specific cultural classes. For instance, a science teacher in Auckland might contextualize environmental science lessons within the concept of kaitiakitanga (guardianship of the environment). By doing so, teachers foster an inclusive climate where students feel seen and valued. This approach is crucial for improving engagement and academic outcomes among Māori and Pasifika students, who have historically faced educational disparities. Thus, cultural competency is a non-negotiable attribute for any</w:t>
      </w:r>
      <w:r>
        <w:t xml:space="preserve"> </w:t>
      </w:r>
      <w:r>
        <w:rPr>
          <w:bCs/>
          <w:b/>
        </w:rPr>
        <w:t xml:space="preserve">Teacher Secondary</w:t>
      </w:r>
      <w:r>
        <w:t xml:space="preserve"> </w:t>
      </w:r>
      <w:r>
        <w:t xml:space="preserve">operating in the Auckland context.</w:t>
      </w:r>
    </w:p>
    <w:bookmarkEnd w:id="21"/>
    <w:bookmarkStart w:id="22" w:name="X7850f537a5d2b838542808526fb4b0cabdf7fc7"/>
    <w:p>
      <w:pPr>
        <w:pStyle w:val="Heading2"/>
      </w:pPr>
      <w:r>
        <w:t xml:space="preserve">III. Addressing Educational Equity and Diversity</w:t>
      </w:r>
    </w:p>
    <w:p>
      <w:pPr>
        <w:pStyle w:val="FirstParagraph"/>
      </w:pPr>
      <w:r>
        <w:t xml:space="preserve">Auckland’s demographic complexity also necessitates a keen awareness of socioeconomic disparities that affect student achievement. While the city boasts world-class schools, it also contains areas with significant economic deprivation. The</w:t>
      </w:r>
      <w:r>
        <w:t xml:space="preserve"> </w:t>
      </w:r>
      <w:r>
        <w:rPr>
          <w:bCs/>
          <w:b/>
        </w:rPr>
        <w:t xml:space="preserve">New Zealand Auckland</w:t>
      </w:r>
      <w:r>
        <w:t xml:space="preserve"> </w:t>
      </w:r>
      <w:r>
        <w:t xml:space="preserve">secondary teacher must be adept at identifying and addressing barriers to learning that stem from poverty, housing instability, or trauma. This requires a shift away from deficit thinking—where differences are viewed as shortcomings—toward an asset-based approach that recognizes the resilience and potential inherent in every student.</w:t>
      </w:r>
      <w:r>
        <w:t xml:space="preserve"> </w:t>
      </w:r>
      <w:r>
        <w:t xml:space="preserve">Furthermore, the rise of neurodiversity in classrooms demands specialized knowledge from educators. Secondary teachers are increasingly required to differentiate instruction to support students with ADHD, autism spectrum disorders, and learning disabilities such as dyslexia. In a large urban center like Auckland, where specialist resources may be stretched thin, the</w:t>
      </w:r>
      <w:r>
        <w:t xml:space="preserve"> </w:t>
      </w:r>
      <w:r>
        <w:rPr>
          <w:bCs/>
          <w:b/>
        </w:rPr>
        <w:t xml:space="preserve">Teacher Secondary</w:t>
      </w:r>
      <w:r>
        <w:t xml:space="preserve"> </w:t>
      </w:r>
      <w:r>
        <w:t xml:space="preserve">often plays a pivotal role in early identification and intervention. Collaboration with special educational needs coordinators (SENCOs) and external agencies is essential to create individualized learning plans that ensure equitable access to the curriculum for all learners.</w:t>
      </w:r>
    </w:p>
    <w:bookmarkEnd w:id="22"/>
    <w:bookmarkStart w:id="23" w:name="X9df16684e48624a4e9283e864d2e2e53aca0349"/>
    <w:p>
      <w:pPr>
        <w:pStyle w:val="Heading2"/>
      </w:pPr>
      <w:r>
        <w:t xml:space="preserve">IV. Digital Pedagogy and Future-Ready Skills</w:t>
      </w:r>
    </w:p>
    <w:p>
      <w:pPr>
        <w:pStyle w:val="FirstParagraph"/>
      </w:pPr>
      <w:r>
        <w:t xml:space="preserve">The acceleration of digital technology, particularly highlighted during recent global disruptions, has permanently altered the role of the</w:t>
      </w:r>
      <w:r>
        <w:t xml:space="preserve"> </w:t>
      </w:r>
      <w:r>
        <w:rPr>
          <w:bCs/>
          <w:b/>
        </w:rPr>
        <w:t xml:space="preserve">Teacher Secondary</w:t>
      </w:r>
      <w:r>
        <w:t xml:space="preserve">. In</w:t>
      </w:r>
      <w:r>
        <w:t xml:space="preserve"> </w:t>
      </w:r>
      <w:r>
        <w:rPr>
          <w:bCs/>
          <w:b/>
        </w:rPr>
        <w:t xml:space="preserve">New Zealand Auckland</w:t>
      </w:r>
      <w:r>
        <w:t xml:space="preserve">, schools are investing heavily in digital infrastructure, but the challenge lies in effective pedagogy. Teachers must now curate digital content and utilize online platforms to enhance critical thinking and collaboration rather than simply digitizing traditional worksheets. This involves teaching students how to navigate the internet safely, evaluate information credibility, and engage ethically with social media—skills that are increasingly vital for young people in a hyper-connected world.</w:t>
      </w:r>
      <w:r>
        <w:t xml:space="preserve"> </w:t>
      </w:r>
      <w:r>
        <w:t xml:space="preserve">Moreover, the curriculum in New Zealand emphasizes "Key Competencies," including thinking, using language/symbols/texts, managing self, relating to others, and participating and contributing. The</w:t>
      </w:r>
      <w:r>
        <w:t xml:space="preserve"> </w:t>
      </w:r>
      <w:r>
        <w:rPr>
          <w:bCs/>
          <w:b/>
        </w:rPr>
        <w:t xml:space="preserve">Teacher Secondary</w:t>
      </w:r>
      <w:r>
        <w:t xml:space="preserve"> </w:t>
      </w:r>
      <w:r>
        <w:t xml:space="preserve">leverages technology to foster these competencies by facilitating project-based learning that mirrors real-world professional environments. Whether it is coding in computer science or using data visualization tools in geography, teachers must model lifelong learning and adaptability. The ability to blend face-to-face interaction with digital fluency is now a core competency of effective teaching in Auckland’s secondary schools.</w:t>
      </w:r>
    </w:p>
    <w:bookmarkEnd w:id="23"/>
    <w:bookmarkStart w:id="24" w:name="Xd8503d4a81f350026da3b37a61046e3532aab15"/>
    <w:p>
      <w:pPr>
        <w:pStyle w:val="Heading2"/>
      </w:pPr>
      <w:r>
        <w:t xml:space="preserve">V. Teacher Wellbeing and Professional Sustainability</w:t>
      </w:r>
    </w:p>
    <w:p>
      <w:pPr>
        <w:pStyle w:val="FirstParagraph"/>
      </w:pPr>
      <w:r>
        <w:t xml:space="preserve">It is impossible to discuss the role of the</w:t>
      </w:r>
      <w:r>
        <w:t xml:space="preserve"> </w:t>
      </w:r>
      <w:r>
        <w:rPr>
          <w:bCs/>
          <w:b/>
        </w:rPr>
        <w:t xml:space="preserve">New Zealand Auckland</w:t>
      </w:r>
      <w:r>
        <w:t xml:space="preserve"> </w:t>
      </w:r>
      <w:r>
        <w:t xml:space="preserve">educator without addressing the crisis of teacher wellbeing. High workloads, administrative burdens, and emotional labor contribute to significant stress levels among secondary teachers in Auckland’s busy urban schools. The pressure to achieve standardized testing results while managing diverse classroom needs can lead to burnout, affecting retention rates in the profession. Therefore, systemic support structures are required alongside individual coping strategies for the</w:t>
      </w:r>
      <w:r>
        <w:t xml:space="preserve"> </w:t>
      </w:r>
      <w:r>
        <w:rPr>
          <w:bCs/>
          <w:b/>
        </w:rPr>
        <w:t xml:space="preserve">Teacher Secondary</w:t>
      </w:r>
      <w:r>
        <w:t xml:space="preserve">.</w:t>
      </w:r>
      <w:r>
        <w:t xml:space="preserve"> </w:t>
      </w:r>
      <w:r>
        <w:t xml:space="preserve">School leadership in Auckland must prioritize a culture of care and collaboration, providing adequate time for professional development and peer support. Mentorship programs for early-career teachers and regular opportunities for reflective practice can mitigate stress and enhance job satisfaction. Furthermore, recognizing the emotional toll of supporting students through complex social issues requires schools to provide access to counseling resources not just for students, but also for staff. A sustainable teaching workforce is essential to maintain the quality of education in</w:t>
      </w:r>
      <w:r>
        <w:t xml:space="preserve"> </w:t>
      </w:r>
      <w:r>
        <w:rPr>
          <w:bCs/>
          <w:b/>
        </w:rPr>
        <w:t xml:space="preserve">New Zealand Auckland</w:t>
      </w:r>
      <w:r>
        <w:t xml:space="preserve">.</w:t>
      </w:r>
    </w:p>
    <w:bookmarkEnd w:id="24"/>
    <w:bookmarkStart w:id="25" w:name="vi.-conclusion"/>
    <w:p>
      <w:pPr>
        <w:pStyle w:val="Heading2"/>
      </w:pPr>
      <w:r>
        <w:t xml:space="preserve">VI. Conclusion</w:t>
      </w:r>
    </w:p>
    <w:p>
      <w:pPr>
        <w:pStyle w:val="FirstParagraph"/>
      </w:pPr>
      <w:r>
        <w:t xml:space="preserve">In conclusion, the role of the secondary teacher in</w:t>
      </w:r>
      <w:r>
        <w:t xml:space="preserve"> </w:t>
      </w:r>
      <w:r>
        <w:rPr>
          <w:bCs/>
          <w:b/>
        </w:rPr>
        <w:t xml:space="preserve">New Zealand Auckland</w:t>
      </w:r>
      <w:r>
        <w:t xml:space="preserve"> </w:t>
      </w:r>
      <w:r>
        <w:t xml:space="preserve">is complex, dynamic, and deeply impactful. It transcends traditional notions of instruction to encompass roles as cultural broker, equity advocate, digital mentor, and emotional supporter. Success in this environment requires a commitment to Te Tiriti o Waitangi principles, a nuanced understanding of diverse learner needs, and the flexibility to adapt to technological changes. As Auckland continues to grow and diversify, the</w:t>
      </w:r>
      <w:r>
        <w:t xml:space="preserve"> </w:t>
      </w:r>
      <w:r>
        <w:rPr>
          <w:bCs/>
          <w:b/>
        </w:rPr>
        <w:t xml:space="preserve">Teacher Secondary</w:t>
      </w:r>
      <w:r>
        <w:t xml:space="preserve"> </w:t>
      </w:r>
      <w:r>
        <w:t xml:space="preserve">remains the cornerstone of social mobility and community cohesion. Investing in their professional development, wellbeing, and autonomy is not only an educational imperative but a societal necessity for building a future-ready New Zealand. The quality of education in</w:t>
      </w:r>
      <w:r>
        <w:t xml:space="preserve"> </w:t>
      </w:r>
      <w:r>
        <w:rPr>
          <w:bCs/>
          <w:b/>
        </w:rPr>
        <w:t xml:space="preserve">New Zealand Auckland</w:t>
      </w:r>
      <w:r>
        <w:t xml:space="preserve"> </w:t>
      </w:r>
      <w:r>
        <w:t xml:space="preserve">is directly linked to how well we support those who stand at the front of the classroom every day.</w:t>
      </w:r>
    </w:p>
    <w:p>
      <w:pPr>
        <w:pStyle w:val="BodyText"/>
      </w:pPr>
      <w:r>
        <w:t xml:space="preserve">***</w:t>
      </w:r>
    </w:p>
    <w:p>
      <w:pPr>
        <w:pStyle w:val="BodyText"/>
      </w:pPr>
      <w:r>
        <w:rPr>
          <w:iCs/>
          <w:i/>
        </w:rPr>
        <w:t xml:space="preserve">This term paper has been written in accordance with academic standards, focusing on the specific context of secondary education within New Zealand Auckland.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Secondary Teacher in New Zealand Auckland</dc:title>
  <dc:creator/>
  <dc:language>en</dc:language>
  <cp:keywords/>
  <dcterms:created xsi:type="dcterms:W3CDTF">2026-07-29T18:40:55Z</dcterms:created>
  <dcterms:modified xsi:type="dcterms:W3CDTF">2026-07-29T18:40:55Z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