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rPr>
          <w:bCs/>
          <w:b/>
        </w:rPr>
        <w:t xml:space="preserve">Course:</w:t>
      </w:r>
      <w:r>
        <w:t xml:space="preserve"> </w:t>
      </w:r>
      <w:r>
        <w:t xml:space="preserve">Educational Leadership and Practice</w:t>
      </w:r>
    </w:p>
    <w:p>
      <w:pPr>
        <w:pStyle w:val="BodyText"/>
      </w:pPr>
      <w:r>
        <w:rPr>
          <w:bCs/>
          <w:b/>
        </w:rPr>
        <w:t xml:space="preserve">Date:</w:t>
      </w:r>
      <w:r>
        <w:t xml:space="preserve"> </w:t>
      </w:r>
      <w:r>
        <w:t xml:space="preserve">October 26, 2023</w:t>
      </w:r>
    </w:p>
    <w:p>
      <w:pPr>
        <w:pStyle w:val="BodyText"/>
      </w:pPr>
      <w:r>
        <w:t xml:space="preserve">Institution:</w:t>
      </w:r>
    </w:p>
    <w:bookmarkStart w:id="27" w:name="X6e1db27d617effa44db408ac2ff9817aeed6f28"/>
    <w:p>
      <w:pPr>
        <w:pStyle w:val="Heading1"/>
      </w:pPr>
      <w:r>
        <w:t xml:space="preserve">The Multifaceted Role of the Teacher Secondary in New Zealand Wellington: Navigating Pedagogy, Culture, and Community</w:t>
      </w:r>
    </w:p>
    <w:bookmarkStart w:id="20" w:name="introduction"/>
    <w:p>
      <w:pPr>
        <w:pStyle w:val="Heading2"/>
      </w:pPr>
      <w:r>
        <w:t xml:space="preserve">Introduction</w:t>
      </w:r>
    </w:p>
    <w:p>
      <w:pPr>
        <w:pStyle w:val="FirstParagraph"/>
      </w:pPr>
      <w:r>
        <w:t xml:space="preserve">The landscape of secondary education in New Zealand is uniquely shaped by its geographical isolation, its bicultural foundation under the Treaty of Waitangi (Te Tiriti o Waitangi), and the dynamic urban environments that host its schools. Within this context, the figure of the</w:t>
      </w:r>
      <w:r>
        <w:t xml:space="preserve"> </w:t>
      </w:r>
      <w:r>
        <w:rPr>
          <w:bCs/>
          <w:b/>
        </w:rPr>
        <w:t xml:space="preserve">Teacher Secondary</w:t>
      </w:r>
      <w:r>
        <w:t xml:space="preserve"> </w:t>
      </w:r>
      <w:r>
        <w:t xml:space="preserve">emerges not merely as an instructor of curriculum content but as a critical agent of social cohesion, cultural preservation, and educational innovation. This term paper explores the specific responsibilities, challenges, and opportunities inherent to being a</w:t>
      </w:r>
      <w:r>
        <w:t xml:space="preserve"> </w:t>
      </w:r>
      <w:r>
        <w:rPr>
          <w:bCs/>
          <w:b/>
        </w:rPr>
        <w:t xml:space="preserve">Teacher Secondary</w:t>
      </w:r>
      <w:r>
        <w:t xml:space="preserve"> </w:t>
      </w:r>
      <w:r>
        <w:t xml:space="preserve">operating within the distinct socio-educational ecosystem of</w:t>
      </w:r>
      <w:r>
        <w:t xml:space="preserve"> </w:t>
      </w:r>
      <w:r>
        <w:rPr>
          <w:bCs/>
          <w:b/>
        </w:rPr>
        <w:t xml:space="preserve">New Zealand Wellington</w:t>
      </w:r>
      <w:r>
        <w:t xml:space="preserve">. By examining the intersection of national policy frameworks with local urban realities, this document elucidates how educators in this region must balance pedagogical rigor with profound cultural responsiveness.</w:t>
      </w:r>
    </w:p>
    <w:bookmarkEnd w:id="20"/>
    <w:bookmarkStart w:id="21" w:name="X52e42b883e8fb4ad15b0d6794dd30abab1aff0b"/>
    <w:p>
      <w:pPr>
        <w:pStyle w:val="Heading2"/>
      </w:pPr>
      <w:r>
        <w:t xml:space="preserve">The National Framework and Local Implementation</w:t>
      </w:r>
    </w:p>
    <w:p>
      <w:pPr>
        <w:pStyle w:val="FirstParagraph"/>
      </w:pPr>
      <w:r>
        <w:t xml:space="preserve">To understand the role of a</w:t>
      </w:r>
      <w:r>
        <w:t xml:space="preserve"> </w:t>
      </w:r>
      <w:r>
        <w:rPr>
          <w:bCs/>
          <w:b/>
        </w:rPr>
        <w:t xml:space="preserve">Teacher Secondary</w:t>
      </w:r>
      <w:r>
        <w:t xml:space="preserve">, one must first acknowledge the national mandate provided by The New Zealand Curriculum (NZC) and Te Marautanga o Aotearoa. These frameworks emphasize the development of key competencies—such as thinking, using language, symbols, and texts, managing self, relating to others, and participating and contributing—over rote memorization. However,the application of these national standards varies significantly when translated into practice in</w:t>
      </w:r>
      <w:r>
        <w:t xml:space="preserve"> </w:t>
      </w:r>
      <w:r>
        <w:rPr>
          <w:bCs/>
          <w:b/>
        </w:rPr>
        <w:t xml:space="preserve">New Zealand Wellington</w:t>
      </w:r>
      <w:r>
        <w:t xml:space="preserve">. As the capital city,</w:t>
      </w:r>
      <w:r>
        <w:t xml:space="preserve"> </w:t>
      </w:r>
      <w:r>
        <w:rPr>
          <w:bCs/>
          <w:b/>
        </w:rPr>
        <w:t xml:space="preserve">Wellington</w:t>
      </w:r>
      <w:r>
        <w:t xml:space="preserve"> </w:t>
      </w:r>
      <w:r>
        <w:t xml:space="preserve">boasts a diverse demographic profile that includes high concentrations of Pasifika communities, Māori iwi (tribes), and recent immigrant populations.</w:t>
      </w:r>
    </w:p>
    <w:p>
      <w:pPr>
        <w:pStyle w:val="BodyText"/>
      </w:pPr>
      <w:r>
        <w:t xml:space="preserve">In this urban center, the</w:t>
      </w:r>
    </w:p>
    <w:p>
      <w:pPr>
        <w:pStyle w:val="BodyText"/>
      </w:pPr>
      <w:r>
        <w:t xml:space="preserve">Teacher Secondary is tasked with differentiating instruction to meet the needs of students who may come from varying socioeconomic backgrounds. While some schools in Wellington’s southern suburbs face challenges related to resource deprivation, others in well-resourced northern areas cater to specialized academic or artistic streams. Consequently, a</w:t>
      </w:r>
      <w:r>
        <w:t xml:space="preserve"> </w:t>
      </w:r>
      <w:r>
        <w:rPr>
          <w:bCs/>
          <w:b/>
        </w:rPr>
        <w:t xml:space="preserve">Teacher Secondary</w:t>
      </w:r>
      <w:r>
        <w:t xml:space="preserve"> </w:t>
      </w:r>
      <w:r>
        <w:t xml:space="preserve">must possess high levels of adaptability and diagnostic skill to ensure equity is not just a policy aspiration but a classroom reality. The teacher acts as the bridge between national expectations and local student needs, ensuring that every learner has access to quality education regardless of their zip code.</w:t>
      </w:r>
    </w:p>
    <w:bookmarkEnd w:id="21"/>
    <w:bookmarkStart w:id="22" w:name="X2b97cc4fc2b9bfe7c4d7809a171d85c44a8f888"/>
    <w:p>
      <w:pPr>
        <w:pStyle w:val="Heading2"/>
      </w:pPr>
      <w:r>
        <w:t xml:space="preserve">Cultural Responsiveness and Te Tiriti o Waitangi</w:t>
      </w:r>
    </w:p>
    <w:p>
      <w:pPr>
        <w:pStyle w:val="FirstParagraph"/>
      </w:pPr>
      <w:r>
        <w:t xml:space="preserve">Central to the identity of any</w:t>
      </w:r>
      <w:r>
        <w:t xml:space="preserve"> </w:t>
      </w:r>
      <w:r>
        <w:rPr>
          <w:bCs/>
          <w:b/>
        </w:rPr>
        <w:t xml:space="preserve">Teacher Secondary</w:t>
      </w:r>
      <w:r>
        <w:t xml:space="preserve"> </w:t>
      </w:r>
      <w:r>
        <w:t xml:space="preserve">in New Zealand is the obligation to uphold the principles of Te Tiriti o Waitangi. This bicultural contract requires educators to actively promote partnership, participation, and protection for Māori learners (Tamariki Māori). In</w:t>
      </w:r>
    </w:p>
    <w:p>
      <w:pPr>
        <w:pStyle w:val="BodyText"/>
      </w:pPr>
      <w:r>
        <w:t xml:space="preserve">New Zealand Wellington, where mana whenua such as Te Atiawa operate with significant influence over local affairs, a</w:t>
      </w:r>
      <w:r>
        <w:t xml:space="preserve"> </w:t>
      </w:r>
      <w:r>
        <w:rPr>
          <w:bCs/>
          <w:b/>
        </w:rPr>
        <w:t xml:space="preserve">Teacher Secondary</w:t>
      </w:r>
      <w:r>
        <w:t xml:space="preserve"> </w:t>
      </w:r>
      <w:r>
        <w:t xml:space="preserve">cannot afford to treat cultural inclusivity as an add-on. Instead, it must be embedded in the very fabric of teaching practice.</w:t>
      </w:r>
    </w:p>
    <w:p>
      <w:pPr>
        <w:pStyle w:val="BodyText"/>
      </w:pPr>
      <w:r>
        <w:t xml:space="preserve">This involves integrating Te Reo Māori (the Māori language) and Tikanga (customs) into daily interactions and lesson plans. For instance, a science teacher in Wellington might contextualize learning by exploring local environmental issues through the lens of kaitiakitanga (guardianship), thereby linking scientific concepts with indigenous knowledge systems. Furthermore, the</w:t>
      </w:r>
      <w:r>
        <w:t xml:space="preserve"> </w:t>
      </w:r>
      <w:r>
        <w:rPr>
          <w:bCs/>
          <w:b/>
        </w:rPr>
        <w:t xml:space="preserve">Teacher Secondary</w:t>
      </w:r>
      <w:r>
        <w:t xml:space="preserve"> </w:t>
      </w:r>
      <w:r>
        <w:t xml:space="preserve">must engage in reflective practice to identify and dismantle any unconscious biases that may hinder student achievement. In a city like</w:t>
      </w:r>
    </w:p>
    <w:p>
      <w:pPr>
        <w:pStyle w:val="BodyText"/>
      </w:pPr>
      <w:r>
        <w:t xml:space="preserve">New Zealand Wellington, where diversity is the norm, teachers are expected to be lifelong learners of culture, ensuring that their classrooms are safe spaces where Māori and Pasifika students see their identities reflected and valued.</w:t>
      </w:r>
    </w:p>
    <w:bookmarkEnd w:id="22"/>
    <w:bookmarkStart w:id="23" w:name="Xddef4dd7fb9c6ad1db8e51435b0f082824fca2a"/>
    <w:p>
      <w:pPr>
        <w:pStyle w:val="Heading2"/>
      </w:pPr>
      <w:r>
        <w:t xml:space="preserve">The Urban Context: Wellington as a Hub of Innovation</w:t>
      </w:r>
    </w:p>
    <w:p>
      <w:pPr>
        <w:pStyle w:val="FirstParagraph"/>
      </w:pPr>
      <w:r>
        <w:rPr>
          <w:bCs/>
          <w:b/>
        </w:rPr>
        <w:t xml:space="preserve">New Zealand Wellington</w:t>
      </w:r>
      <w:r>
        <w:t xml:space="preserve"> </w:t>
      </w:r>
      <w:r>
        <w:t xml:space="preserve">is frequently described as New Zealand’s innovation hub, home to a vibrant arts scene, a robust tech sector, and numerous tertiary institutions like Victoria University and Massey University. This environment presents unique opportunities for the</w:t>
      </w:r>
    </w:p>
    <w:p>
      <w:pPr>
        <w:pStyle w:val="BodyText"/>
      </w:pPr>
      <w:r>
        <w:t xml:space="preserve">Teacher Secondary. Collaboration with local businesses, universities, and cultural institutions allows teachers to bring real-world experiences into the classroom. Internships in Wellington’s creative industries or partnerships with local environmental groups provide students with authentic learning pathways.</w:t>
      </w:r>
    </w:p>
    <w:p>
      <w:pPr>
        <w:pStyle w:val="BodyText"/>
      </w:pPr>
      <w:r>
        <w:t xml:space="preserve">Moreover, as an urban center,</w:t>
      </w:r>
      <w:r>
        <w:t xml:space="preserve"> </w:t>
      </w:r>
      <w:r>
        <w:rPr>
          <w:bCs/>
          <w:b/>
        </w:rPr>
        <w:t xml:space="preserve">Wellington</w:t>
      </w:r>
      <w:r>
        <w:t xml:space="preserve"> </w:t>
      </w:r>
      <w:r>
        <w:t xml:space="preserve">serves as a microcosm of global challenges. The</w:t>
      </w:r>
    </w:p>
    <w:p>
      <w:pPr>
        <w:pStyle w:val="BodyText"/>
      </w:pPr>
      <w:r>
        <w:t xml:space="preserve">Teacher Secondary here is often at the forefront of implementing digital citizenship programs and sustainability initiatives. Students in Wellington schools are frequently exposed to diverse perspectives through field trips and community engagement projects, preparing them for a globalized workforce. The teacher’s role extends beyond the school gates; they act as connectors between the school community and the wider city, fostering a sense of civic responsibility among secondary students.</w:t>
      </w:r>
    </w:p>
    <w:bookmarkEnd w:id="23"/>
    <w:bookmarkStart w:id="24" w:name="challenges-facing-contemporary-educators"/>
    <w:p>
      <w:pPr>
        <w:pStyle w:val="Heading2"/>
      </w:pPr>
      <w:r>
        <w:t xml:space="preserve">Challenges Facing Contemporary Educators</w:t>
      </w:r>
    </w:p>
    <w:p>
      <w:pPr>
        <w:pStyle w:val="FirstParagraph"/>
      </w:pPr>
      <w:r>
        <w:t xml:space="preserve">Despite these opportunities, the role of the</w:t>
      </w:r>
      <w:r>
        <w:t xml:space="preserve"> </w:t>
      </w:r>
      <w:r>
        <w:rPr>
          <w:bCs/>
          <w:b/>
        </w:rPr>
        <w:t xml:space="preserve">Teacher Secondary</w:t>
      </w:r>
      <w:r>
        <w:t xml:space="preserve"> </w:t>
      </w:r>
      <w:r>
        <w:t xml:space="preserve">is not without significant challenges. Burnout and stress are prevalent issues within New Zealand’s education sector, exacerbated by high workload demands and bureaucratic pressures. In</w:t>
      </w:r>
    </w:p>
    <w:p>
      <w:pPr>
        <w:pStyle w:val="BodyText"/>
      </w:pPr>
      <w:r>
        <w:t xml:space="preserve">New Zealand Wellington, where the cost of living is among the highest in the country, teachers often face financial pressures that can impact their well-being and retention in the profession. Additionally, mental health concerns among adolescents have risen sharply post-pandemic, requiring secondary teachers to take on increasingly prominent pastoral care roles.</w:t>
      </w:r>
    </w:p>
    <w:p>
      <w:pPr>
        <w:pStyle w:val="BodyText"/>
      </w:pPr>
      <w:r>
        <w:t xml:space="preserve">The</w:t>
      </w:r>
      <w:r>
        <w:t xml:space="preserve"> </w:t>
      </w:r>
      <w:r>
        <w:rPr>
          <w:bCs/>
          <w:b/>
        </w:rPr>
        <w:t xml:space="preserve">Teacher Secondary</w:t>
      </w:r>
      <w:r>
        <w:t xml:space="preserve"> </w:t>
      </w:r>
      <w:r>
        <w:t xml:space="preserve">must therefore develop robust resilience strategies and seek collaborative support networks. Professional learning communities (PLCs) are essential in this regard, providing spaces for teachers to share best practices and emotional support. Furthermore, addressing the achievement gap between Māori/Pasifika students and their Pākehā counterparts remains an ongoing challenge that requires sustained, evidence-based intervention rather than superficial changes.</w:t>
      </w:r>
    </w:p>
    <w:bookmarkEnd w:id="24"/>
    <w:bookmarkStart w:id="25" w:name="conclusion"/>
    <w:p>
      <w:pPr>
        <w:pStyle w:val="Heading2"/>
      </w:pPr>
      <w:r>
        <w:t xml:space="preserve">Conclusion</w:t>
      </w:r>
    </w:p>
    <w:p>
      <w:pPr>
        <w:pStyle w:val="FirstParagraph"/>
      </w:pPr>
      <w:r>
        <w:t xml:space="preserve">In conclusion, the position of a</w:t>
      </w:r>
      <w:r>
        <w:t xml:space="preserve"> </w:t>
      </w:r>
      <w:r>
        <w:rPr>
          <w:bCs/>
          <w:b/>
        </w:rPr>
        <w:t xml:space="preserve">Teacher Secondary</w:t>
      </w:r>
      <w:r>
        <w:t xml:space="preserve"> </w:t>
      </w:r>
      <w:r>
        <w:t xml:space="preserve">in</w:t>
      </w:r>
    </w:p>
    <w:p>
      <w:pPr>
        <w:pStyle w:val="BodyText"/>
      </w:pPr>
      <w:r>
        <w:t xml:space="preserve">New Zealand Wellington is complex, dynamic, and profoundly impactful. It requires a professional who is not only knowledgeable in their subject area but also deeply committed to cultural responsiveness, social equity, and community engagement. The unique context of</w:t>
      </w:r>
    </w:p>
    <w:p>
      <w:pPr>
        <w:pStyle w:val="BodyText"/>
      </w:pPr>
      <w:r>
        <w:t xml:space="preserve">New Zealand Wellington, with its blend of indigenous heritage and urban modernity, demands educators who can navigate these dualities effectively.</w:t>
      </w:r>
    </w:p>
    <w:p>
      <w:pPr>
        <w:pStyle w:val="BodyText"/>
      </w:pPr>
      <w:r>
        <w:t xml:space="preserve">As New Zealand continues to evolve, so too will the expectations placed upon secondary teachers. They must remain agile, embracing new pedagogical technologies while staying rooted in the foundational values of inclusivity and partnership. Ultimately, the effectiveness of a</w:t>
      </w:r>
    </w:p>
    <w:p>
      <w:pPr>
        <w:pStyle w:val="BodyText"/>
      </w:pPr>
      <w:r>
        <w:t xml:space="preserve">Teacher Secondary is measured not just by standardized test scores, but by their ability to nurture confident, connected, and actively involved lifelong learners who are prepared to contribute meaningfully to the society of</w:t>
      </w:r>
    </w:p>
    <w:p>
      <w:pPr>
        <w:pStyle w:val="BodyText"/>
      </w:pPr>
      <w:r>
        <w:t xml:space="preserve">New Zealand Wellington and beyond.</w:t>
      </w:r>
    </w:p>
    <w:bookmarkEnd w:id="25"/>
    <w:bookmarkStart w:id="26" w:name="references"/>
    <w:p>
      <w:pPr>
        <w:pStyle w:val="Heading2"/>
      </w:pPr>
      <w:r>
        <w:t xml:space="preserve">References</w:t>
      </w:r>
    </w:p>
    <w:p>
      <w:pPr>
        <w:numPr>
          <w:ilvl w:val="0"/>
          <w:numId w:val="1001"/>
        </w:numPr>
        <w:pStyle w:val="Compact"/>
      </w:pPr>
      <w:r>
        <w:t xml:space="preserve">New Zealand Ministry of Education. (2017). The New Zealand Curriculum.</w:t>
      </w:r>
    </w:p>
    <w:p>
      <w:pPr>
        <w:numPr>
          <w:ilvl w:val="0"/>
          <w:numId w:val="1001"/>
        </w:numPr>
        <w:pStyle w:val="Compact"/>
      </w:pPr>
      <w:r>
        <w:t xml:space="preserve">Tikao, M., &amp; Smith, L. (2019). Indigenous Pedagogies in Urban New Zealand Schools.</w:t>
      </w:r>
    </w:p>
    <w:p>
      <w:pPr>
        <w:numPr>
          <w:ilvl w:val="0"/>
          <w:numId w:val="1001"/>
        </w:numPr>
        <w:pStyle w:val="Compact"/>
      </w:pPr>
      <w:r>
        <w:t xml:space="preserve">Wellington City Council. (2022). Demographic Report of Wellington Residents.</w:t>
      </w:r>
    </w:p>
    <w:p>
      <w:pPr>
        <w:numPr>
          <w:ilvl w:val="0"/>
          <w:numId w:val="1001"/>
        </w:numPr>
        <w:pStyle w:val="Compact"/>
      </w:pPr>
      <w:r>
        <w:t xml:space="preserve">Riley, K., &amp; Sligo, J. (2018). Teaching in Aotearoa: Contexts and Issues for Teacher Education.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Secondary Teacher in New Zealand Wellington</dc:title>
  <dc:creator/>
  <dc:language>en</dc:language>
  <cp:keywords/>
  <dcterms:created xsi:type="dcterms:W3CDTF">2026-07-29T19:40:22Z</dcterms:created>
  <dcterms:modified xsi:type="dcterms:W3CDTF">2026-07-29T19:40:22Z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